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BBF2" w14:textId="58F75392" w:rsidR="00310833" w:rsidRPr="0060460C" w:rsidRDefault="00EC30E7" w:rsidP="00F132F7">
      <w:pPr>
        <w:jc w:val="center"/>
      </w:pPr>
      <w:r w:rsidRPr="0060460C">
        <w:rPr>
          <w:b/>
        </w:rPr>
        <w:t>FSILG</w:t>
      </w:r>
      <w:r w:rsidR="00F020E2" w:rsidRPr="0060460C">
        <w:rPr>
          <w:b/>
        </w:rPr>
        <w:t xml:space="preserve"> OPERATING</w:t>
      </w:r>
      <w:r w:rsidR="00230FE0" w:rsidRPr="0060460C">
        <w:rPr>
          <w:b/>
        </w:rPr>
        <w:t xml:space="preserve"> EXPENSE</w:t>
      </w:r>
      <w:r w:rsidR="00F020E2" w:rsidRPr="0060460C">
        <w:rPr>
          <w:b/>
        </w:rPr>
        <w:t xml:space="preserve"> REIMBURSEMENT </w:t>
      </w:r>
      <w:r w:rsidR="00F132F7" w:rsidRPr="0060460C">
        <w:rPr>
          <w:b/>
        </w:rPr>
        <w:t>AGREEMENT</w:t>
      </w:r>
    </w:p>
    <w:p w14:paraId="36631286" w14:textId="77777777" w:rsidR="00F132F7" w:rsidRPr="0060460C" w:rsidRDefault="00F132F7" w:rsidP="00F132F7">
      <w:pPr>
        <w:jc w:val="center"/>
      </w:pPr>
    </w:p>
    <w:p w14:paraId="11CA6FD5" w14:textId="2CBA77BB" w:rsidR="00F132F7" w:rsidRPr="0060460C" w:rsidRDefault="00F132F7" w:rsidP="00F132F7">
      <w:r w:rsidRPr="0060460C">
        <w:tab/>
      </w:r>
      <w:r w:rsidR="00F020E2" w:rsidRPr="0060460C">
        <w:t xml:space="preserve">THIS </w:t>
      </w:r>
      <w:r w:rsidR="00EC30E7" w:rsidRPr="0060460C">
        <w:t xml:space="preserve">FSILG </w:t>
      </w:r>
      <w:r w:rsidR="00F020E2" w:rsidRPr="0060460C">
        <w:t>OPERATING</w:t>
      </w:r>
      <w:r w:rsidR="00E40774" w:rsidRPr="0060460C">
        <w:t xml:space="preserve"> EXPENSE</w:t>
      </w:r>
      <w:r w:rsidRPr="0060460C">
        <w:t xml:space="preserve"> REIMBURSEMENT AGREEMENT (“Agreement”) is executed as of </w:t>
      </w:r>
      <w:r w:rsidR="00F65C64">
        <w:t>February</w:t>
      </w:r>
      <w:r w:rsidR="00F65C64" w:rsidRPr="0060460C">
        <w:t xml:space="preserve"> </w:t>
      </w:r>
      <w:r w:rsidR="001A094B" w:rsidRPr="0060460C">
        <w:t>___</w:t>
      </w:r>
      <w:r w:rsidRPr="0060460C">
        <w:t>, 202</w:t>
      </w:r>
      <w:r w:rsidR="00F65C64">
        <w:t>1</w:t>
      </w:r>
      <w:r w:rsidRPr="0060460C">
        <w:t xml:space="preserve"> (the “Effective Date”) between:</w:t>
      </w:r>
    </w:p>
    <w:p w14:paraId="551A62FB" w14:textId="74F193CC" w:rsidR="00F848FB" w:rsidRPr="0060460C" w:rsidRDefault="00F132F7" w:rsidP="00F132F7">
      <w:r w:rsidRPr="0060460C">
        <w:rPr>
          <w:u w:val="single"/>
        </w:rPr>
        <w:tab/>
      </w:r>
      <w:r w:rsidRPr="0060460C">
        <w:rPr>
          <w:u w:val="single"/>
        </w:rPr>
        <w:tab/>
      </w:r>
      <w:r w:rsidRPr="0060460C">
        <w:rPr>
          <w:u w:val="single"/>
        </w:rPr>
        <w:tab/>
      </w:r>
      <w:r w:rsidRPr="0060460C">
        <w:rPr>
          <w:u w:val="single"/>
        </w:rPr>
        <w:tab/>
      </w:r>
      <w:r w:rsidRPr="0060460C">
        <w:rPr>
          <w:u w:val="single"/>
        </w:rPr>
        <w:tab/>
      </w:r>
      <w:r w:rsidRPr="0060460C">
        <w:rPr>
          <w:u w:val="single"/>
        </w:rPr>
        <w:tab/>
      </w:r>
      <w:r w:rsidR="00F848FB" w:rsidRPr="0060460C">
        <w:rPr>
          <w:u w:val="single"/>
        </w:rPr>
        <w:tab/>
      </w:r>
      <w:r w:rsidR="00E40774" w:rsidRPr="0060460C">
        <w:t xml:space="preserve"> (“House Corporation”),</w:t>
      </w:r>
      <w:r w:rsidR="00F848FB" w:rsidRPr="0060460C">
        <w:t xml:space="preserve"> located at</w:t>
      </w:r>
      <w:r w:rsidR="00CE1553" w:rsidRPr="0060460C">
        <w:t xml:space="preserve"> address</w:t>
      </w:r>
      <w:r w:rsidR="00F848FB" w:rsidRPr="0060460C">
        <w:t>:</w:t>
      </w:r>
    </w:p>
    <w:p w14:paraId="675C9F79" w14:textId="2CCB8648" w:rsidR="00F848FB" w:rsidRPr="0060460C" w:rsidRDefault="00F848FB" w:rsidP="00F132F7">
      <w:pPr>
        <w:rPr>
          <w:u w:val="single"/>
        </w:rPr>
      </w:pPr>
      <w:r w:rsidRPr="0060460C">
        <w:rPr>
          <w:u w:val="single"/>
        </w:rPr>
        <w:tab/>
      </w:r>
      <w:r w:rsidRPr="0060460C">
        <w:rPr>
          <w:u w:val="single"/>
        </w:rPr>
        <w:tab/>
      </w:r>
      <w:r w:rsidRPr="0060460C">
        <w:rPr>
          <w:u w:val="single"/>
        </w:rPr>
        <w:tab/>
      </w:r>
      <w:r w:rsidRPr="0060460C">
        <w:rPr>
          <w:u w:val="single"/>
        </w:rPr>
        <w:tab/>
      </w:r>
      <w:r w:rsidRPr="0060460C">
        <w:rPr>
          <w:u w:val="single"/>
        </w:rPr>
        <w:tab/>
      </w:r>
      <w:r w:rsidRPr="0060460C">
        <w:rPr>
          <w:u w:val="single"/>
        </w:rPr>
        <w:tab/>
      </w:r>
      <w:r w:rsidRPr="0060460C">
        <w:rPr>
          <w:u w:val="single"/>
        </w:rPr>
        <w:tab/>
      </w:r>
      <w:r w:rsidRPr="0060460C">
        <w:t xml:space="preserve">; </w:t>
      </w:r>
    </w:p>
    <w:p w14:paraId="3E39AB30" w14:textId="77777777" w:rsidR="00F132F7" w:rsidRPr="0060460C" w:rsidRDefault="00F132F7" w:rsidP="00F132F7">
      <w:r w:rsidRPr="0060460C">
        <w:t xml:space="preserve">and </w:t>
      </w:r>
    </w:p>
    <w:p w14:paraId="6E81F7B9" w14:textId="19847C92" w:rsidR="00F132F7" w:rsidRPr="0060460C" w:rsidRDefault="00F132F7" w:rsidP="00F848FB">
      <w:r w:rsidRPr="0060460C">
        <w:t>Massachusetts Institute of Technology (“MIT”)</w:t>
      </w:r>
      <w:r w:rsidR="00F848FB" w:rsidRPr="0060460C">
        <w:t>, located at address</w:t>
      </w:r>
      <w:r w:rsidR="00CE1553" w:rsidRPr="0060460C">
        <w:t>:</w:t>
      </w:r>
      <w:r w:rsidR="00F848FB" w:rsidRPr="0060460C">
        <w:t xml:space="preserve"> MIT Division of Student Life, Building 4-110, 77 Massachusetts Avenue, Cambridge, MA  02139</w:t>
      </w:r>
      <w:r w:rsidR="00E40774" w:rsidRPr="0060460C">
        <w:t>.</w:t>
      </w:r>
      <w:r w:rsidR="00230FE0" w:rsidRPr="0060460C">
        <w:t xml:space="preserve"> </w:t>
      </w:r>
    </w:p>
    <w:p w14:paraId="6AE19820" w14:textId="0DEFAF3D" w:rsidR="00707CA9" w:rsidRPr="0060460C" w:rsidRDefault="00707CA9" w:rsidP="00CE1553">
      <w:pPr>
        <w:jc w:val="center"/>
        <w:rPr>
          <w:b/>
        </w:rPr>
      </w:pPr>
    </w:p>
    <w:p w14:paraId="002EE6A9" w14:textId="27377317" w:rsidR="00F132F7" w:rsidRPr="0060460C" w:rsidRDefault="006B093A" w:rsidP="006B093A">
      <w:pPr>
        <w:jc w:val="center"/>
        <w:rPr>
          <w:b/>
        </w:rPr>
      </w:pPr>
      <w:r w:rsidRPr="0060460C">
        <w:rPr>
          <w:b/>
        </w:rPr>
        <w:t>RECITALS:</w:t>
      </w:r>
    </w:p>
    <w:p w14:paraId="15470197" w14:textId="77777777" w:rsidR="00E17EF4" w:rsidRPr="0060460C" w:rsidRDefault="00E17EF4" w:rsidP="006B093A">
      <w:pPr>
        <w:jc w:val="center"/>
        <w:rPr>
          <w:b/>
        </w:rPr>
      </w:pPr>
    </w:p>
    <w:p w14:paraId="6C12583F" w14:textId="08901A54" w:rsidR="00707CA9" w:rsidRPr="0060460C" w:rsidRDefault="005E0071" w:rsidP="007C1FB7">
      <w:pPr>
        <w:pStyle w:val="ListParagraph"/>
        <w:numPr>
          <w:ilvl w:val="0"/>
          <w:numId w:val="1"/>
        </w:numPr>
        <w:rPr>
          <w:rFonts w:ascii="Times New Roman" w:hAnsi="Times New Roman" w:cs="Times New Roman"/>
          <w:sz w:val="24"/>
          <w:szCs w:val="24"/>
        </w:rPr>
      </w:pPr>
      <w:r w:rsidRPr="0060460C">
        <w:rPr>
          <w:rFonts w:ascii="Times New Roman" w:hAnsi="Times New Roman" w:cs="Times New Roman"/>
          <w:sz w:val="24"/>
          <w:szCs w:val="24"/>
        </w:rPr>
        <w:t xml:space="preserve">In accordance with </w:t>
      </w:r>
      <w:r w:rsidR="00F020E2" w:rsidRPr="0060460C">
        <w:rPr>
          <w:rFonts w:ascii="Times New Roman" w:hAnsi="Times New Roman" w:cs="Times New Roman"/>
          <w:sz w:val="24"/>
          <w:szCs w:val="24"/>
        </w:rPr>
        <w:t>its continuing public health strategy to</w:t>
      </w:r>
      <w:r w:rsidR="00561885" w:rsidRPr="0060460C">
        <w:rPr>
          <w:rFonts w:ascii="Times New Roman" w:hAnsi="Times New Roman" w:cs="Times New Roman"/>
          <w:sz w:val="24"/>
          <w:szCs w:val="24"/>
        </w:rPr>
        <w:t xml:space="preserve"> mitigate the spread of</w:t>
      </w:r>
      <w:r w:rsidRPr="0060460C">
        <w:rPr>
          <w:rFonts w:ascii="Times New Roman" w:hAnsi="Times New Roman" w:cs="Times New Roman"/>
          <w:sz w:val="24"/>
          <w:szCs w:val="24"/>
        </w:rPr>
        <w:t xml:space="preserve"> Covid-19, MIT </w:t>
      </w:r>
      <w:r w:rsidR="00F020E2" w:rsidRPr="0060460C">
        <w:rPr>
          <w:rFonts w:ascii="Times New Roman" w:hAnsi="Times New Roman" w:cs="Times New Roman"/>
          <w:sz w:val="24"/>
          <w:szCs w:val="24"/>
        </w:rPr>
        <w:t xml:space="preserve">has </w:t>
      </w:r>
      <w:r w:rsidR="007C1FB7" w:rsidRPr="0060460C">
        <w:rPr>
          <w:rFonts w:ascii="Times New Roman" w:hAnsi="Times New Roman" w:cs="Times New Roman"/>
          <w:sz w:val="24"/>
          <w:szCs w:val="24"/>
        </w:rPr>
        <w:t xml:space="preserve">made the determination that, in order to temporarily reduce the campus population, </w:t>
      </w:r>
      <w:r w:rsidR="00A72618" w:rsidRPr="0060460C">
        <w:rPr>
          <w:rFonts w:ascii="Times New Roman" w:hAnsi="Times New Roman" w:cs="Times New Roman"/>
          <w:sz w:val="24"/>
          <w:szCs w:val="24"/>
        </w:rPr>
        <w:t>no students will be allowed to reside in FSILGs</w:t>
      </w:r>
      <w:r w:rsidR="007C1FB7" w:rsidRPr="0060460C">
        <w:rPr>
          <w:rFonts w:ascii="Times New Roman" w:hAnsi="Times New Roman" w:cs="Times New Roman"/>
          <w:sz w:val="24"/>
          <w:szCs w:val="24"/>
        </w:rPr>
        <w:t xml:space="preserve"> in </w:t>
      </w:r>
      <w:r w:rsidR="00F65C64">
        <w:rPr>
          <w:rFonts w:ascii="Times New Roman" w:hAnsi="Times New Roman" w:cs="Times New Roman"/>
          <w:sz w:val="24"/>
          <w:szCs w:val="24"/>
        </w:rPr>
        <w:t>Spring 2021</w:t>
      </w:r>
      <w:r w:rsidR="00A72618" w:rsidRPr="0060460C">
        <w:rPr>
          <w:rFonts w:ascii="Times New Roman" w:hAnsi="Times New Roman" w:cs="Times New Roman"/>
          <w:sz w:val="24"/>
          <w:szCs w:val="24"/>
        </w:rPr>
        <w:t>, unless otherwise permitted by MIT</w:t>
      </w:r>
      <w:r w:rsidRPr="0060460C">
        <w:rPr>
          <w:rFonts w:ascii="Times New Roman" w:hAnsi="Times New Roman" w:cs="Times New Roman"/>
          <w:sz w:val="24"/>
          <w:szCs w:val="24"/>
        </w:rPr>
        <w:t>.</w:t>
      </w:r>
    </w:p>
    <w:p w14:paraId="184829B9" w14:textId="443C1B4D" w:rsidR="00707CA9" w:rsidRPr="0060460C" w:rsidRDefault="007C1FB7" w:rsidP="00707CA9">
      <w:pPr>
        <w:pStyle w:val="ListParagraph"/>
        <w:numPr>
          <w:ilvl w:val="0"/>
          <w:numId w:val="1"/>
        </w:numPr>
        <w:spacing w:before="160"/>
        <w:rPr>
          <w:rFonts w:ascii="Times New Roman" w:hAnsi="Times New Roman" w:cs="Times New Roman"/>
          <w:sz w:val="24"/>
          <w:szCs w:val="24"/>
        </w:rPr>
      </w:pPr>
      <w:r w:rsidRPr="0060460C">
        <w:rPr>
          <w:rFonts w:ascii="Times New Roman" w:hAnsi="Times New Roman" w:cs="Times New Roman"/>
          <w:sz w:val="24"/>
          <w:szCs w:val="24"/>
        </w:rPr>
        <w:t>MIT recognizes that the Covid-19 pandemic, in general, and MIT’s associated public health strategy, more specifically, affects the House Corporation</w:t>
      </w:r>
      <w:r w:rsidR="005E0071" w:rsidRPr="0060460C">
        <w:rPr>
          <w:rFonts w:ascii="Times New Roman" w:hAnsi="Times New Roman" w:cs="Times New Roman"/>
          <w:sz w:val="24"/>
          <w:szCs w:val="24"/>
        </w:rPr>
        <w:t>.</w:t>
      </w:r>
    </w:p>
    <w:p w14:paraId="06111A2A" w14:textId="233068A6" w:rsidR="00D612B4" w:rsidRPr="0060460C" w:rsidRDefault="0060460C" w:rsidP="00D612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FSILGs support MIT’s educational mission as</w:t>
      </w:r>
      <w:r w:rsidR="007C1FB7" w:rsidRPr="0060460C">
        <w:rPr>
          <w:rFonts w:ascii="Times New Roman" w:hAnsi="Times New Roman" w:cs="Times New Roman"/>
          <w:sz w:val="24"/>
          <w:szCs w:val="24"/>
        </w:rPr>
        <w:t xml:space="preserve"> an </w:t>
      </w:r>
      <w:r w:rsidR="007F2368" w:rsidRPr="0060460C">
        <w:rPr>
          <w:rFonts w:ascii="Times New Roman" w:hAnsi="Times New Roman" w:cs="Times New Roman"/>
          <w:sz w:val="24"/>
          <w:szCs w:val="24"/>
        </w:rPr>
        <w:t xml:space="preserve">important part of the </w:t>
      </w:r>
      <w:r w:rsidR="00D50223" w:rsidRPr="0060460C">
        <w:rPr>
          <w:rFonts w:ascii="Times New Roman" w:hAnsi="Times New Roman" w:cs="Times New Roman"/>
          <w:sz w:val="24"/>
          <w:szCs w:val="24"/>
        </w:rPr>
        <w:t xml:space="preserve">MIT community and </w:t>
      </w:r>
      <w:r w:rsidR="00FB3897" w:rsidRPr="0060460C">
        <w:rPr>
          <w:rFonts w:ascii="Times New Roman" w:hAnsi="Times New Roman" w:cs="Times New Roman"/>
          <w:sz w:val="24"/>
          <w:szCs w:val="24"/>
        </w:rPr>
        <w:t>a significant source of campus housing, MIT wishes to help defray certain specified operating expenses of the House Corporation in order to help maintain its financial security for the continuing benefit of MIT and its students</w:t>
      </w:r>
      <w:r w:rsidR="005E0071" w:rsidRPr="0060460C">
        <w:rPr>
          <w:rFonts w:ascii="Times New Roman" w:hAnsi="Times New Roman" w:cs="Times New Roman"/>
          <w:sz w:val="24"/>
          <w:szCs w:val="24"/>
        </w:rPr>
        <w:t>.</w:t>
      </w:r>
    </w:p>
    <w:p w14:paraId="1A5169F7" w14:textId="74891666" w:rsidR="00292068" w:rsidRPr="0060460C" w:rsidRDefault="00A1100A" w:rsidP="00707CA9">
      <w:pPr>
        <w:pStyle w:val="ListParagraph"/>
        <w:numPr>
          <w:ilvl w:val="0"/>
          <w:numId w:val="1"/>
        </w:numPr>
        <w:rPr>
          <w:rFonts w:ascii="Times New Roman" w:hAnsi="Times New Roman" w:cs="Times New Roman"/>
          <w:sz w:val="24"/>
          <w:szCs w:val="24"/>
        </w:rPr>
      </w:pPr>
      <w:r w:rsidRPr="0060460C">
        <w:rPr>
          <w:rFonts w:ascii="Times New Roman" w:hAnsi="Times New Roman" w:cs="Times New Roman"/>
          <w:sz w:val="24"/>
          <w:szCs w:val="24"/>
        </w:rPr>
        <w:t>The aggregate amount of the</w:t>
      </w:r>
      <w:r w:rsidR="00FB3897" w:rsidRPr="0060460C">
        <w:rPr>
          <w:rFonts w:ascii="Times New Roman" w:hAnsi="Times New Roman" w:cs="Times New Roman"/>
          <w:sz w:val="24"/>
          <w:szCs w:val="24"/>
        </w:rPr>
        <w:t xml:space="preserve"> reimbursement</w:t>
      </w:r>
      <w:r w:rsidRPr="0060460C">
        <w:rPr>
          <w:rFonts w:ascii="Times New Roman" w:hAnsi="Times New Roman" w:cs="Times New Roman"/>
          <w:sz w:val="24"/>
          <w:szCs w:val="24"/>
        </w:rPr>
        <w:t xml:space="preserve"> is $_______________ (the “</w:t>
      </w:r>
      <w:r w:rsidR="00012BE2" w:rsidRPr="0060460C">
        <w:rPr>
          <w:rFonts w:ascii="Times New Roman" w:hAnsi="Times New Roman" w:cs="Times New Roman"/>
          <w:sz w:val="24"/>
          <w:szCs w:val="24"/>
        </w:rPr>
        <w:t xml:space="preserve">Total </w:t>
      </w:r>
      <w:r w:rsidR="00FB3897" w:rsidRPr="0060460C">
        <w:rPr>
          <w:rFonts w:ascii="Times New Roman" w:hAnsi="Times New Roman" w:cs="Times New Roman"/>
          <w:sz w:val="24"/>
          <w:szCs w:val="24"/>
        </w:rPr>
        <w:t>Reimbursement</w:t>
      </w:r>
      <w:r w:rsidRPr="0060460C">
        <w:rPr>
          <w:rFonts w:ascii="Times New Roman" w:hAnsi="Times New Roman" w:cs="Times New Roman"/>
          <w:sz w:val="24"/>
          <w:szCs w:val="24"/>
        </w:rPr>
        <w:t xml:space="preserve"> Amount”</w:t>
      </w:r>
      <w:r w:rsidR="007D514A" w:rsidRPr="0060460C">
        <w:rPr>
          <w:rFonts w:ascii="Times New Roman" w:hAnsi="Times New Roman" w:cs="Times New Roman"/>
          <w:sz w:val="24"/>
          <w:szCs w:val="24"/>
        </w:rPr>
        <w:t>),</w:t>
      </w:r>
      <w:r w:rsidR="00684828" w:rsidRPr="0060460C">
        <w:rPr>
          <w:rFonts w:ascii="Times New Roman" w:hAnsi="Times New Roman" w:cs="Times New Roman"/>
          <w:sz w:val="24"/>
          <w:szCs w:val="24"/>
        </w:rPr>
        <w:t xml:space="preserve"> </w:t>
      </w:r>
      <w:r w:rsidR="007D514A" w:rsidRPr="0060460C">
        <w:rPr>
          <w:rFonts w:ascii="Times New Roman" w:hAnsi="Times New Roman" w:cs="Times New Roman"/>
          <w:sz w:val="24"/>
          <w:szCs w:val="24"/>
        </w:rPr>
        <w:t>which was</w:t>
      </w:r>
      <w:r w:rsidR="00172FF9" w:rsidRPr="0060460C">
        <w:rPr>
          <w:rFonts w:ascii="Times New Roman" w:hAnsi="Times New Roman" w:cs="Times New Roman"/>
          <w:sz w:val="24"/>
          <w:szCs w:val="24"/>
        </w:rPr>
        <w:t xml:space="preserve"> </w:t>
      </w:r>
      <w:r w:rsidR="00684828" w:rsidRPr="0060460C">
        <w:rPr>
          <w:rFonts w:ascii="Times New Roman" w:hAnsi="Times New Roman" w:cs="Times New Roman"/>
          <w:sz w:val="24"/>
          <w:szCs w:val="24"/>
        </w:rPr>
        <w:t xml:space="preserve">calculated using the </w:t>
      </w:r>
      <w:r w:rsidR="00FB3897" w:rsidRPr="0060460C">
        <w:rPr>
          <w:rFonts w:ascii="Times New Roman" w:hAnsi="Times New Roman" w:cs="Times New Roman"/>
          <w:sz w:val="24"/>
          <w:szCs w:val="24"/>
        </w:rPr>
        <w:t>Reimbursement</w:t>
      </w:r>
      <w:r w:rsidR="00172FF9" w:rsidRPr="0060460C">
        <w:rPr>
          <w:rFonts w:ascii="Times New Roman" w:hAnsi="Times New Roman" w:cs="Times New Roman"/>
          <w:sz w:val="24"/>
          <w:szCs w:val="24"/>
        </w:rPr>
        <w:t xml:space="preserve"> Payment Calculation Schedule</w:t>
      </w:r>
      <w:r w:rsidR="009D2E9C" w:rsidRPr="0060460C">
        <w:rPr>
          <w:rFonts w:ascii="Times New Roman" w:hAnsi="Times New Roman" w:cs="Times New Roman"/>
          <w:sz w:val="24"/>
          <w:szCs w:val="24"/>
        </w:rPr>
        <w:t xml:space="preserve"> at the end</w:t>
      </w:r>
      <w:r w:rsidR="00172FF9" w:rsidRPr="0060460C">
        <w:rPr>
          <w:rFonts w:ascii="Times New Roman" w:hAnsi="Times New Roman" w:cs="Times New Roman"/>
          <w:sz w:val="24"/>
          <w:szCs w:val="24"/>
        </w:rPr>
        <w:t xml:space="preserve"> of this document</w:t>
      </w:r>
      <w:r w:rsidRPr="0060460C">
        <w:rPr>
          <w:rFonts w:ascii="Times New Roman" w:hAnsi="Times New Roman" w:cs="Times New Roman"/>
          <w:sz w:val="24"/>
          <w:szCs w:val="24"/>
        </w:rPr>
        <w:t>).</w:t>
      </w:r>
    </w:p>
    <w:p w14:paraId="67B80980" w14:textId="77777777" w:rsidR="00292068" w:rsidRPr="0060460C" w:rsidRDefault="00292068" w:rsidP="00292068">
      <w:pPr>
        <w:pStyle w:val="ListParagraph"/>
        <w:rPr>
          <w:rFonts w:ascii="Times New Roman" w:hAnsi="Times New Roman" w:cs="Times New Roman"/>
          <w:sz w:val="24"/>
          <w:szCs w:val="24"/>
        </w:rPr>
      </w:pPr>
    </w:p>
    <w:p w14:paraId="0DDEEC1A" w14:textId="670E499F" w:rsidR="00F848FB" w:rsidRPr="0060460C" w:rsidRDefault="00F848FB" w:rsidP="00F848FB">
      <w:r w:rsidRPr="0060460C">
        <w:rPr>
          <w:b/>
        </w:rPr>
        <w:t>NOW, THEREFORE</w:t>
      </w:r>
      <w:r w:rsidR="00CE1553" w:rsidRPr="0060460C">
        <w:t xml:space="preserve">, </w:t>
      </w:r>
      <w:r w:rsidRPr="0060460C">
        <w:t xml:space="preserve">the </w:t>
      </w:r>
      <w:r w:rsidR="00A1100A" w:rsidRPr="0060460C">
        <w:t>House Corporation and MIT</w:t>
      </w:r>
      <w:r w:rsidRPr="0060460C">
        <w:t xml:space="preserve"> hereby agree as follows:</w:t>
      </w:r>
    </w:p>
    <w:p w14:paraId="2A2B4C01" w14:textId="77777777" w:rsidR="00B75A79" w:rsidRPr="0060460C" w:rsidRDefault="00B75A79" w:rsidP="00F848FB"/>
    <w:p w14:paraId="441FAC8D" w14:textId="0C8C9B55" w:rsidR="0016316D" w:rsidRPr="0060460C" w:rsidRDefault="00F848FB" w:rsidP="00F848FB">
      <w:r w:rsidRPr="0060460C">
        <w:t>1.</w:t>
      </w:r>
      <w:r w:rsidRPr="0060460C">
        <w:tab/>
      </w:r>
      <w:r w:rsidRPr="0060460C">
        <w:rPr>
          <w:u w:val="single"/>
        </w:rPr>
        <w:t xml:space="preserve">Calculation of the Total </w:t>
      </w:r>
      <w:r w:rsidR="0016316D" w:rsidRPr="0060460C">
        <w:rPr>
          <w:u w:val="single"/>
        </w:rPr>
        <w:t>Reimbursement</w:t>
      </w:r>
      <w:r w:rsidR="00A1100A" w:rsidRPr="0060460C">
        <w:rPr>
          <w:u w:val="single"/>
        </w:rPr>
        <w:t xml:space="preserve"> Amount</w:t>
      </w:r>
      <w:r w:rsidRPr="0060460C">
        <w:t xml:space="preserve">.  </w:t>
      </w:r>
      <w:r w:rsidR="00012BE2" w:rsidRPr="0060460C">
        <w:t xml:space="preserve">The </w:t>
      </w:r>
      <w:r w:rsidR="00292068" w:rsidRPr="0060460C">
        <w:t xml:space="preserve">calculation of the Total </w:t>
      </w:r>
      <w:r w:rsidR="0016316D" w:rsidRPr="0060460C">
        <w:t>Reimbursement</w:t>
      </w:r>
      <w:r w:rsidR="00292068" w:rsidRPr="0060460C">
        <w:t xml:space="preserve"> Amount is set forth in the attached </w:t>
      </w:r>
      <w:r w:rsidR="0016316D" w:rsidRPr="0060460C">
        <w:t>Reimbursement</w:t>
      </w:r>
      <w:r w:rsidR="00292068" w:rsidRPr="0060460C">
        <w:t xml:space="preserve"> Payment Calculation Schedule.  The House Corporation represents and warrants that the information set forth </w:t>
      </w:r>
      <w:r w:rsidR="00CE1553" w:rsidRPr="0060460C">
        <w:t>in such</w:t>
      </w:r>
      <w:r w:rsidR="00292068" w:rsidRPr="0060460C">
        <w:t xml:space="preserve"> schedule accurately reflects</w:t>
      </w:r>
      <w:r w:rsidR="0016316D" w:rsidRPr="0060460C">
        <w:t xml:space="preserve"> </w:t>
      </w:r>
      <w:r w:rsidR="0088154F" w:rsidRPr="0060460C">
        <w:t xml:space="preserve">only </w:t>
      </w:r>
      <w:r w:rsidR="0063171A">
        <w:t xml:space="preserve">the following </w:t>
      </w:r>
      <w:r w:rsidR="0016316D" w:rsidRPr="0060460C">
        <w:t>“Qualified Expenses”:</w:t>
      </w:r>
    </w:p>
    <w:p w14:paraId="4F3D35D9" w14:textId="71F72408" w:rsidR="0016316D" w:rsidRPr="0060460C" w:rsidRDefault="0016316D" w:rsidP="00F848FB"/>
    <w:p w14:paraId="312E46BC" w14:textId="3CBAC822" w:rsidR="0016316D" w:rsidRPr="0060460C" w:rsidRDefault="0088154F" w:rsidP="0016316D">
      <w:pPr>
        <w:pStyle w:val="ListParagraph"/>
        <w:numPr>
          <w:ilvl w:val="0"/>
          <w:numId w:val="2"/>
        </w:numPr>
        <w:rPr>
          <w:rFonts w:ascii="Times New Roman" w:hAnsi="Times New Roman" w:cs="Times New Roman"/>
          <w:sz w:val="24"/>
          <w:szCs w:val="24"/>
        </w:rPr>
      </w:pPr>
      <w:r w:rsidRPr="0060460C">
        <w:rPr>
          <w:rFonts w:ascii="Times New Roman" w:hAnsi="Times New Roman" w:cs="Times New Roman"/>
          <w:sz w:val="24"/>
          <w:szCs w:val="24"/>
        </w:rPr>
        <w:t xml:space="preserve">The following expenses incurred or to be incurred by the House Corporation between </w:t>
      </w:r>
      <w:r w:rsidR="00F65C64">
        <w:rPr>
          <w:rFonts w:ascii="Times New Roman" w:hAnsi="Times New Roman" w:cs="Times New Roman"/>
          <w:sz w:val="24"/>
          <w:szCs w:val="24"/>
        </w:rPr>
        <w:t>January</w:t>
      </w:r>
      <w:r w:rsidR="00F65C64" w:rsidRPr="0060460C">
        <w:rPr>
          <w:rFonts w:ascii="Times New Roman" w:hAnsi="Times New Roman" w:cs="Times New Roman"/>
          <w:sz w:val="24"/>
          <w:szCs w:val="24"/>
        </w:rPr>
        <w:t xml:space="preserve"> </w:t>
      </w:r>
      <w:r w:rsidRPr="0060460C">
        <w:rPr>
          <w:rFonts w:ascii="Times New Roman" w:hAnsi="Times New Roman" w:cs="Times New Roman"/>
          <w:sz w:val="24"/>
          <w:szCs w:val="24"/>
        </w:rPr>
        <w:t>1, 202</w:t>
      </w:r>
      <w:r w:rsidR="00F65C64">
        <w:rPr>
          <w:rFonts w:ascii="Times New Roman" w:hAnsi="Times New Roman" w:cs="Times New Roman"/>
          <w:sz w:val="24"/>
          <w:szCs w:val="24"/>
        </w:rPr>
        <w:t>1</w:t>
      </w:r>
      <w:r w:rsidRPr="0060460C">
        <w:rPr>
          <w:rFonts w:ascii="Times New Roman" w:hAnsi="Times New Roman" w:cs="Times New Roman"/>
          <w:sz w:val="24"/>
          <w:szCs w:val="24"/>
        </w:rPr>
        <w:t xml:space="preserve"> and </w:t>
      </w:r>
      <w:r w:rsidR="00F65C64">
        <w:rPr>
          <w:rFonts w:ascii="Times New Roman" w:hAnsi="Times New Roman" w:cs="Times New Roman"/>
          <w:sz w:val="24"/>
          <w:szCs w:val="24"/>
        </w:rPr>
        <w:t>May</w:t>
      </w:r>
      <w:r w:rsidRPr="0060460C">
        <w:rPr>
          <w:rFonts w:ascii="Times New Roman" w:hAnsi="Times New Roman" w:cs="Times New Roman"/>
          <w:sz w:val="24"/>
          <w:szCs w:val="24"/>
        </w:rPr>
        <w:t xml:space="preserve"> 31, 202</w:t>
      </w:r>
      <w:r w:rsidR="00F65C64">
        <w:rPr>
          <w:rFonts w:ascii="Times New Roman" w:hAnsi="Times New Roman" w:cs="Times New Roman"/>
          <w:sz w:val="24"/>
          <w:szCs w:val="24"/>
        </w:rPr>
        <w:t>1</w:t>
      </w:r>
      <w:r w:rsidRPr="0060460C">
        <w:rPr>
          <w:rFonts w:ascii="Times New Roman" w:hAnsi="Times New Roman" w:cs="Times New Roman"/>
          <w:sz w:val="24"/>
          <w:szCs w:val="24"/>
        </w:rPr>
        <w:t xml:space="preserve"> with respect to it</w:t>
      </w:r>
      <w:r w:rsidR="00E17EF4" w:rsidRPr="0060460C">
        <w:rPr>
          <w:rFonts w:ascii="Times New Roman" w:hAnsi="Times New Roman" w:cs="Times New Roman"/>
          <w:sz w:val="24"/>
          <w:szCs w:val="24"/>
        </w:rPr>
        <w:t>s</w:t>
      </w:r>
      <w:r w:rsidRPr="0060460C">
        <w:rPr>
          <w:rFonts w:ascii="Times New Roman" w:hAnsi="Times New Roman" w:cs="Times New Roman"/>
          <w:sz w:val="24"/>
          <w:szCs w:val="24"/>
        </w:rPr>
        <w:t xml:space="preserve"> MIT operations only:</w:t>
      </w:r>
    </w:p>
    <w:p w14:paraId="76C1FDAF" w14:textId="566E59EE" w:rsidR="0088154F" w:rsidRPr="0060460C" w:rsidRDefault="0088154F"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Mortgage or lease payments</w:t>
      </w:r>
    </w:p>
    <w:p w14:paraId="627CEAAE" w14:textId="7C10CD67" w:rsidR="0088154F" w:rsidRPr="0060460C" w:rsidRDefault="0088154F"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Property taxes</w:t>
      </w:r>
    </w:p>
    <w:p w14:paraId="2BA4D631" w14:textId="18E5104F" w:rsidR="0088154F" w:rsidRPr="0060460C" w:rsidRDefault="0088154F"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Insurance</w:t>
      </w:r>
    </w:p>
    <w:p w14:paraId="4BF489DD" w14:textId="58CA4272" w:rsidR="0088154F" w:rsidRPr="0060460C" w:rsidRDefault="0088154F"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Utilities</w:t>
      </w:r>
    </w:p>
    <w:p w14:paraId="626405CD" w14:textId="2F76C9C8" w:rsidR="0088154F" w:rsidRPr="0060460C" w:rsidRDefault="003F0E19"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Regularly scheduled</w:t>
      </w:r>
      <w:r w:rsidR="00EC30E7" w:rsidRPr="0060460C">
        <w:rPr>
          <w:rFonts w:ascii="Times New Roman" w:hAnsi="Times New Roman" w:cs="Times New Roman"/>
          <w:sz w:val="24"/>
          <w:szCs w:val="24"/>
        </w:rPr>
        <w:t>, periodic</w:t>
      </w:r>
      <w:r w:rsidRPr="0060460C">
        <w:rPr>
          <w:rFonts w:ascii="Times New Roman" w:hAnsi="Times New Roman" w:cs="Times New Roman"/>
          <w:sz w:val="24"/>
          <w:szCs w:val="24"/>
        </w:rPr>
        <w:t xml:space="preserve"> </w:t>
      </w:r>
      <w:r w:rsidR="00A72618" w:rsidRPr="0060460C">
        <w:rPr>
          <w:rFonts w:ascii="Times New Roman" w:hAnsi="Times New Roman" w:cs="Times New Roman"/>
          <w:sz w:val="24"/>
          <w:szCs w:val="24"/>
        </w:rPr>
        <w:t>safety</w:t>
      </w:r>
      <w:r w:rsidRPr="0060460C">
        <w:rPr>
          <w:rFonts w:ascii="Times New Roman" w:hAnsi="Times New Roman" w:cs="Times New Roman"/>
          <w:sz w:val="24"/>
          <w:szCs w:val="24"/>
        </w:rPr>
        <w:t xml:space="preserve"> inspections and </w:t>
      </w:r>
      <w:r w:rsidR="00764EDC" w:rsidRPr="0060460C">
        <w:rPr>
          <w:rFonts w:ascii="Times New Roman" w:hAnsi="Times New Roman" w:cs="Times New Roman"/>
          <w:sz w:val="24"/>
          <w:szCs w:val="24"/>
        </w:rPr>
        <w:t>ordinary course</w:t>
      </w:r>
      <w:r w:rsidR="00A72618" w:rsidRPr="0060460C">
        <w:rPr>
          <w:rFonts w:ascii="Times New Roman" w:hAnsi="Times New Roman" w:cs="Times New Roman"/>
          <w:sz w:val="24"/>
          <w:szCs w:val="24"/>
        </w:rPr>
        <w:t xml:space="preserve"> </w:t>
      </w:r>
      <w:r w:rsidRPr="0060460C">
        <w:rPr>
          <w:rFonts w:ascii="Times New Roman" w:hAnsi="Times New Roman" w:cs="Times New Roman"/>
          <w:sz w:val="24"/>
          <w:szCs w:val="24"/>
        </w:rPr>
        <w:t>scheduled maintenance</w:t>
      </w:r>
    </w:p>
    <w:p w14:paraId="23C61312" w14:textId="092FB8D7" w:rsidR="0016316D" w:rsidRPr="0060460C" w:rsidRDefault="0016316D" w:rsidP="00F848FB">
      <w:r w:rsidRPr="0060460C">
        <w:t>and</w:t>
      </w:r>
      <w:r w:rsidR="0088154F" w:rsidRPr="0060460C">
        <w:t xml:space="preserve"> </w:t>
      </w:r>
      <w:r w:rsidR="00E17EF4" w:rsidRPr="0060460C">
        <w:t xml:space="preserve">also accurately reflects </w:t>
      </w:r>
      <w:r w:rsidR="0088154F" w:rsidRPr="0060460C">
        <w:t>all</w:t>
      </w:r>
      <w:r w:rsidR="0063171A">
        <w:t xml:space="preserve"> of the </w:t>
      </w:r>
      <w:proofErr w:type="gramStart"/>
      <w:r w:rsidR="0063171A">
        <w:t xml:space="preserve">following </w:t>
      </w:r>
      <w:r w:rsidRPr="0060460C">
        <w:t xml:space="preserve"> “</w:t>
      </w:r>
      <w:proofErr w:type="gramEnd"/>
      <w:r w:rsidRPr="0060460C">
        <w:t>Offsetting Payments”:</w:t>
      </w:r>
    </w:p>
    <w:p w14:paraId="09563E55" w14:textId="2517E47C" w:rsidR="0016316D" w:rsidRPr="0060460C" w:rsidRDefault="0016316D" w:rsidP="00F848FB"/>
    <w:p w14:paraId="51F32D19" w14:textId="1DEB482A" w:rsidR="0088154F" w:rsidRPr="0060460C" w:rsidRDefault="003F0E19" w:rsidP="0088154F">
      <w:pPr>
        <w:pStyle w:val="ListParagraph"/>
        <w:numPr>
          <w:ilvl w:val="0"/>
          <w:numId w:val="2"/>
        </w:numPr>
        <w:rPr>
          <w:rFonts w:ascii="Times New Roman" w:hAnsi="Times New Roman" w:cs="Times New Roman"/>
          <w:sz w:val="24"/>
          <w:szCs w:val="24"/>
        </w:rPr>
      </w:pPr>
      <w:r w:rsidRPr="0060460C">
        <w:rPr>
          <w:rFonts w:ascii="Times New Roman" w:hAnsi="Times New Roman" w:cs="Times New Roman"/>
          <w:sz w:val="24"/>
          <w:szCs w:val="24"/>
        </w:rPr>
        <w:lastRenderedPageBreak/>
        <w:t>Any of the following payments received or credited to</w:t>
      </w:r>
      <w:r w:rsidR="0088154F" w:rsidRPr="0060460C">
        <w:rPr>
          <w:rFonts w:ascii="Times New Roman" w:hAnsi="Times New Roman" w:cs="Times New Roman"/>
          <w:sz w:val="24"/>
          <w:szCs w:val="24"/>
        </w:rPr>
        <w:t xml:space="preserve"> the House Corporation</w:t>
      </w:r>
      <w:r w:rsidR="00E17EF4" w:rsidRPr="0060460C">
        <w:rPr>
          <w:rFonts w:ascii="Times New Roman" w:hAnsi="Times New Roman" w:cs="Times New Roman"/>
          <w:sz w:val="24"/>
          <w:szCs w:val="24"/>
        </w:rPr>
        <w:t>, in accordance with its normal account</w:t>
      </w:r>
      <w:r w:rsidR="0063171A">
        <w:rPr>
          <w:rFonts w:ascii="Times New Roman" w:hAnsi="Times New Roman" w:cs="Times New Roman"/>
          <w:sz w:val="24"/>
          <w:szCs w:val="24"/>
        </w:rPr>
        <w:t xml:space="preserve">ing </w:t>
      </w:r>
      <w:r w:rsidR="00E17EF4" w:rsidRPr="0060460C">
        <w:rPr>
          <w:rFonts w:ascii="Times New Roman" w:hAnsi="Times New Roman" w:cs="Times New Roman"/>
          <w:sz w:val="24"/>
          <w:szCs w:val="24"/>
        </w:rPr>
        <w:t>practices, with respect to the period</w:t>
      </w:r>
      <w:r w:rsidR="0088154F" w:rsidRPr="0060460C">
        <w:rPr>
          <w:rFonts w:ascii="Times New Roman" w:hAnsi="Times New Roman" w:cs="Times New Roman"/>
          <w:sz w:val="24"/>
          <w:szCs w:val="24"/>
        </w:rPr>
        <w:t xml:space="preserve"> between </w:t>
      </w:r>
      <w:r w:rsidR="00F65C64">
        <w:rPr>
          <w:rFonts w:ascii="Times New Roman" w:hAnsi="Times New Roman" w:cs="Times New Roman"/>
          <w:sz w:val="24"/>
          <w:szCs w:val="24"/>
        </w:rPr>
        <w:t>January</w:t>
      </w:r>
      <w:r w:rsidR="00F65C64" w:rsidRPr="0060460C">
        <w:rPr>
          <w:rFonts w:ascii="Times New Roman" w:hAnsi="Times New Roman" w:cs="Times New Roman"/>
          <w:sz w:val="24"/>
          <w:szCs w:val="24"/>
        </w:rPr>
        <w:t xml:space="preserve"> </w:t>
      </w:r>
      <w:r w:rsidR="0088154F" w:rsidRPr="0060460C">
        <w:rPr>
          <w:rFonts w:ascii="Times New Roman" w:hAnsi="Times New Roman" w:cs="Times New Roman"/>
          <w:sz w:val="24"/>
          <w:szCs w:val="24"/>
        </w:rPr>
        <w:t>1, 202</w:t>
      </w:r>
      <w:r w:rsidR="00F65C64">
        <w:rPr>
          <w:rFonts w:ascii="Times New Roman" w:hAnsi="Times New Roman" w:cs="Times New Roman"/>
          <w:sz w:val="24"/>
          <w:szCs w:val="24"/>
        </w:rPr>
        <w:t>1</w:t>
      </w:r>
      <w:r w:rsidR="0088154F" w:rsidRPr="0060460C">
        <w:rPr>
          <w:rFonts w:ascii="Times New Roman" w:hAnsi="Times New Roman" w:cs="Times New Roman"/>
          <w:sz w:val="24"/>
          <w:szCs w:val="24"/>
        </w:rPr>
        <w:t xml:space="preserve"> and </w:t>
      </w:r>
      <w:r w:rsidR="00F65C64">
        <w:rPr>
          <w:rFonts w:ascii="Times New Roman" w:hAnsi="Times New Roman" w:cs="Times New Roman"/>
          <w:sz w:val="24"/>
          <w:szCs w:val="24"/>
        </w:rPr>
        <w:t>May</w:t>
      </w:r>
      <w:r w:rsidR="0088154F" w:rsidRPr="0060460C">
        <w:rPr>
          <w:rFonts w:ascii="Times New Roman" w:hAnsi="Times New Roman" w:cs="Times New Roman"/>
          <w:sz w:val="24"/>
          <w:szCs w:val="24"/>
        </w:rPr>
        <w:t xml:space="preserve"> 31, 202</w:t>
      </w:r>
      <w:r w:rsidR="00F65C64">
        <w:rPr>
          <w:rFonts w:ascii="Times New Roman" w:hAnsi="Times New Roman" w:cs="Times New Roman"/>
          <w:sz w:val="24"/>
          <w:szCs w:val="24"/>
        </w:rPr>
        <w:t>1</w:t>
      </w:r>
      <w:r w:rsidR="0088154F" w:rsidRPr="0060460C">
        <w:rPr>
          <w:rFonts w:ascii="Times New Roman" w:hAnsi="Times New Roman" w:cs="Times New Roman"/>
          <w:sz w:val="24"/>
          <w:szCs w:val="24"/>
        </w:rPr>
        <w:t>:</w:t>
      </w:r>
    </w:p>
    <w:p w14:paraId="7915E807" w14:textId="329C77D7" w:rsidR="0088154F" w:rsidRPr="0060460C" w:rsidRDefault="00E17EF4"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Rent payments</w:t>
      </w:r>
    </w:p>
    <w:p w14:paraId="58734D7A" w14:textId="66D415DF" w:rsidR="0088154F" w:rsidRPr="0060460C" w:rsidRDefault="00E17EF4"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Graduate Resident Advisor subsidies</w:t>
      </w:r>
    </w:p>
    <w:p w14:paraId="14B28B72" w14:textId="3F415A50" w:rsidR="0088154F" w:rsidRPr="0060460C" w:rsidRDefault="00E17EF4" w:rsidP="0088154F">
      <w:pPr>
        <w:pStyle w:val="ListParagraph"/>
        <w:numPr>
          <w:ilvl w:val="1"/>
          <w:numId w:val="2"/>
        </w:numPr>
        <w:rPr>
          <w:rFonts w:ascii="Times New Roman" w:hAnsi="Times New Roman" w:cs="Times New Roman"/>
          <w:sz w:val="24"/>
          <w:szCs w:val="24"/>
        </w:rPr>
      </w:pPr>
      <w:r w:rsidRPr="0060460C">
        <w:rPr>
          <w:rFonts w:ascii="Times New Roman" w:hAnsi="Times New Roman" w:cs="Times New Roman"/>
          <w:sz w:val="24"/>
          <w:szCs w:val="24"/>
        </w:rPr>
        <w:t>Other payments received from MIT</w:t>
      </w:r>
      <w:r w:rsidR="00764EDC" w:rsidRPr="0060460C">
        <w:rPr>
          <w:rFonts w:ascii="Times New Roman" w:hAnsi="Times New Roman" w:cs="Times New Roman"/>
          <w:sz w:val="24"/>
          <w:szCs w:val="24"/>
        </w:rPr>
        <w:t xml:space="preserve">, a government agency, or any other entity </w:t>
      </w:r>
      <w:r w:rsidRPr="0060460C">
        <w:rPr>
          <w:rFonts w:ascii="Times New Roman" w:hAnsi="Times New Roman" w:cs="Times New Roman"/>
          <w:sz w:val="24"/>
          <w:szCs w:val="24"/>
        </w:rPr>
        <w:t>intended to offset operating expenses</w:t>
      </w:r>
    </w:p>
    <w:p w14:paraId="69E548A9" w14:textId="77777777" w:rsidR="00E92C6E" w:rsidRDefault="00292068" w:rsidP="00F848FB">
      <w:r w:rsidRPr="0060460C">
        <w:t xml:space="preserve">In particular, the House Corporation represents and warrants that the </w:t>
      </w:r>
      <w:r w:rsidR="0088154F" w:rsidRPr="0060460C">
        <w:t>Qualified Expenses</w:t>
      </w:r>
      <w:r w:rsidRPr="0060460C">
        <w:t xml:space="preserve"> calculation does not include any amounts for dues to any </w:t>
      </w:r>
      <w:r w:rsidR="00665DB4" w:rsidRPr="0060460C">
        <w:t>national</w:t>
      </w:r>
      <w:r w:rsidRPr="0060460C">
        <w:t xml:space="preserve"> </w:t>
      </w:r>
      <w:r w:rsidR="00E40774" w:rsidRPr="0060460C">
        <w:t xml:space="preserve">or international </w:t>
      </w:r>
      <w:r w:rsidRPr="0060460C">
        <w:t>organizations</w:t>
      </w:r>
      <w:r w:rsidR="003F0E19" w:rsidRPr="0060460C">
        <w:t xml:space="preserve"> or chapter activity/social fees; food, beverage or meal costs; purchases of furniture, electronic equipment or similar items; contributions to reserves; or </w:t>
      </w:r>
      <w:r w:rsidR="00764EDC" w:rsidRPr="0060460C">
        <w:t xml:space="preserve">non-standard maintenance or </w:t>
      </w:r>
      <w:r w:rsidR="00AD7472" w:rsidRPr="0060460C">
        <w:t xml:space="preserve">the performance of </w:t>
      </w:r>
      <w:r w:rsidR="00764EDC" w:rsidRPr="0060460C">
        <w:t xml:space="preserve">other </w:t>
      </w:r>
      <w:r w:rsidR="003F0E19" w:rsidRPr="0060460C">
        <w:t>capital improvement projects</w:t>
      </w:r>
      <w:r w:rsidRPr="0060460C">
        <w:t>.</w:t>
      </w:r>
    </w:p>
    <w:p w14:paraId="5A530A0E" w14:textId="77777777" w:rsidR="00E92C6E" w:rsidRDefault="00E92C6E" w:rsidP="00F848FB"/>
    <w:p w14:paraId="1B7C2B9F" w14:textId="663C2C80" w:rsidR="00F848FB" w:rsidRPr="0060460C" w:rsidRDefault="00E92C6E" w:rsidP="00F848FB">
      <w:r>
        <w:t xml:space="preserve">For the efficiency of administration, the </w:t>
      </w:r>
      <w:r w:rsidRPr="0060460C">
        <w:t>Total Reimbursement Amount</w:t>
      </w:r>
      <w:r>
        <w:t xml:space="preserve"> hereunder may be </w:t>
      </w:r>
      <w:r w:rsidR="00C01638">
        <w:t>in</w:t>
      </w:r>
      <w:r>
        <w:t xml:space="preserve">creased </w:t>
      </w:r>
      <w:r w:rsidR="00C01638">
        <w:t xml:space="preserve">or decreased, as appropriate, </w:t>
      </w:r>
      <w:r>
        <w:t xml:space="preserve">for any reconciliation adjustment payment that may be payable under Section 4 of the </w:t>
      </w:r>
      <w:r w:rsidRPr="0060460C">
        <w:t xml:space="preserve">FSILG </w:t>
      </w:r>
      <w:r>
        <w:t xml:space="preserve">Operating Expense Reimbursement Agreement entered into between MIT and the House Corporation with respect to the Summer and Fall of 2020.  Such application of the reconciliation adjustment payment hereunder will satisfy the parties’ obligations with respect thereto under the previous agreement. </w:t>
      </w:r>
    </w:p>
    <w:p w14:paraId="27CB4E7A" w14:textId="77777777" w:rsidR="00B75A79" w:rsidRPr="0060460C" w:rsidRDefault="00B75A79" w:rsidP="00F848FB"/>
    <w:p w14:paraId="1EA93ECB" w14:textId="51839030" w:rsidR="00CE1553" w:rsidRPr="0060460C" w:rsidRDefault="00CE1553" w:rsidP="00F848FB">
      <w:r w:rsidRPr="0060460C">
        <w:t>2.</w:t>
      </w:r>
      <w:r w:rsidRPr="0060460C">
        <w:tab/>
      </w:r>
      <w:r w:rsidRPr="0060460C">
        <w:rPr>
          <w:u w:val="single"/>
        </w:rPr>
        <w:t>Documentation</w:t>
      </w:r>
      <w:r w:rsidRPr="0060460C">
        <w:t xml:space="preserve">.  The House Corporation has provided MIT with certain requested documentation and information in connection with the calculation of the Total </w:t>
      </w:r>
      <w:r w:rsidR="0016316D" w:rsidRPr="0060460C">
        <w:t>Reimbursement</w:t>
      </w:r>
      <w:r w:rsidRPr="0060460C">
        <w:t xml:space="preserve"> Amount, and the House Corporation represents and warrants that, to the best of its knowledge, such documentation was true, complete and correct.</w:t>
      </w:r>
    </w:p>
    <w:p w14:paraId="77B3DC44" w14:textId="77777777" w:rsidR="0016316D" w:rsidRPr="0060460C" w:rsidRDefault="0016316D" w:rsidP="00F848FB"/>
    <w:p w14:paraId="2C93C1F9" w14:textId="3389CE48" w:rsidR="00EF0FA9" w:rsidRPr="0060460C" w:rsidRDefault="00500821" w:rsidP="00F848FB">
      <w:r w:rsidRPr="0060460C">
        <w:t>3</w:t>
      </w:r>
      <w:r w:rsidR="00F848FB" w:rsidRPr="0060460C">
        <w:t>.</w:t>
      </w:r>
      <w:r w:rsidR="00F848FB" w:rsidRPr="0060460C">
        <w:tab/>
      </w:r>
      <w:r w:rsidR="0016316D" w:rsidRPr="0060460C">
        <w:rPr>
          <w:u w:val="single"/>
        </w:rPr>
        <w:t>Transfer of Total Reimbursement</w:t>
      </w:r>
      <w:r w:rsidR="00292068" w:rsidRPr="0060460C">
        <w:rPr>
          <w:u w:val="single"/>
        </w:rPr>
        <w:t xml:space="preserve"> Amount by MIT</w:t>
      </w:r>
      <w:r w:rsidR="00F848FB" w:rsidRPr="0060460C">
        <w:t xml:space="preserve">.  </w:t>
      </w:r>
      <w:r w:rsidR="00292068" w:rsidRPr="0060460C">
        <w:t xml:space="preserve">MIT shall transfer funds to the House Corporation </w:t>
      </w:r>
      <w:r w:rsidRPr="0060460C">
        <w:t>equal to</w:t>
      </w:r>
      <w:r w:rsidR="00292068" w:rsidRPr="0060460C">
        <w:t xml:space="preserve"> the Total </w:t>
      </w:r>
      <w:r w:rsidR="00AD7472" w:rsidRPr="0060460C">
        <w:t xml:space="preserve">Reimbursement </w:t>
      </w:r>
      <w:r w:rsidR="00292068" w:rsidRPr="0060460C">
        <w:t>Amount</w:t>
      </w:r>
      <w:r w:rsidR="00E40774" w:rsidRPr="0060460C">
        <w:t xml:space="preserve"> by check </w:t>
      </w:r>
      <w:r w:rsidR="00EF0FA9" w:rsidRPr="0060460C">
        <w:t>to the below address:</w:t>
      </w:r>
    </w:p>
    <w:p w14:paraId="36EE9BEB" w14:textId="77777777" w:rsidR="00EF0FA9" w:rsidRPr="0060460C" w:rsidRDefault="00EF0FA9" w:rsidP="00F848FB"/>
    <w:p w14:paraId="031A3476" w14:textId="659EFCEE" w:rsidR="00146619" w:rsidRPr="0060460C" w:rsidRDefault="00146619" w:rsidP="00146619">
      <w:r w:rsidRPr="0060460C">
        <w:t>House Corporation:</w:t>
      </w:r>
      <w:r w:rsidRPr="0060460C">
        <w:tab/>
        <w:t>________________________________</w:t>
      </w:r>
    </w:p>
    <w:p w14:paraId="1F5B4B24" w14:textId="1404E323" w:rsidR="00146619" w:rsidRPr="0060460C" w:rsidRDefault="00146619" w:rsidP="00146619">
      <w:r w:rsidRPr="0060460C">
        <w:t>c/o Officer</w:t>
      </w:r>
      <w:r w:rsidR="00FA35FC" w:rsidRPr="0060460C">
        <w:t>,</w:t>
      </w:r>
      <w:r w:rsidRPr="0060460C">
        <w:t xml:space="preserve"> Title:</w:t>
      </w:r>
      <w:r w:rsidRPr="0060460C">
        <w:tab/>
        <w:t>________________________________</w:t>
      </w:r>
    </w:p>
    <w:p w14:paraId="0C5E675F" w14:textId="77777777" w:rsidR="00146619" w:rsidRPr="0060460C" w:rsidRDefault="00146619" w:rsidP="00146619">
      <w:r w:rsidRPr="0060460C">
        <w:t>Address 1:</w:t>
      </w:r>
      <w:r w:rsidRPr="0060460C">
        <w:tab/>
      </w:r>
      <w:r w:rsidRPr="0060460C">
        <w:tab/>
        <w:t>________________________________</w:t>
      </w:r>
    </w:p>
    <w:p w14:paraId="1CB04FFA" w14:textId="77777777" w:rsidR="00146619" w:rsidRPr="0060460C" w:rsidRDefault="00146619" w:rsidP="00146619">
      <w:r w:rsidRPr="0060460C">
        <w:t>Address 2:</w:t>
      </w:r>
      <w:r w:rsidRPr="0060460C">
        <w:tab/>
      </w:r>
      <w:r w:rsidRPr="0060460C">
        <w:tab/>
        <w:t>________________________________</w:t>
      </w:r>
    </w:p>
    <w:p w14:paraId="3D254FD8" w14:textId="0D842927" w:rsidR="00F848FB" w:rsidRPr="0060460C" w:rsidRDefault="00146619" w:rsidP="00146619">
      <w:r w:rsidRPr="0060460C">
        <w:t>City, State, ZIP</w:t>
      </w:r>
      <w:r w:rsidRPr="0060460C">
        <w:tab/>
        <w:t>________________________________</w:t>
      </w:r>
    </w:p>
    <w:p w14:paraId="2490697D" w14:textId="135DE54E" w:rsidR="00B75A79" w:rsidRPr="0060460C" w:rsidRDefault="00B75A79" w:rsidP="00707CA9"/>
    <w:p w14:paraId="3EAFE289" w14:textId="7C155C7F" w:rsidR="00F848FB" w:rsidRPr="0060460C" w:rsidRDefault="0016316D" w:rsidP="00707CA9">
      <w:r w:rsidRPr="0060460C">
        <w:t>4</w:t>
      </w:r>
      <w:r w:rsidR="00707CA9" w:rsidRPr="0060460C">
        <w:t>.</w:t>
      </w:r>
      <w:r w:rsidR="00707CA9" w:rsidRPr="0060460C">
        <w:tab/>
      </w:r>
      <w:r w:rsidR="00707CA9" w:rsidRPr="0060460C">
        <w:rPr>
          <w:u w:val="single"/>
        </w:rPr>
        <w:t>Reconciliation</w:t>
      </w:r>
      <w:r w:rsidR="00500821" w:rsidRPr="0060460C">
        <w:rPr>
          <w:u w:val="single"/>
        </w:rPr>
        <w:t xml:space="preserve"> and Return of Undisbursed Funds</w:t>
      </w:r>
      <w:r w:rsidR="00707CA9" w:rsidRPr="0060460C">
        <w:t>.</w:t>
      </w:r>
      <w:r w:rsidR="00F848FB" w:rsidRPr="0060460C">
        <w:t xml:space="preserve">  </w:t>
      </w:r>
      <w:r w:rsidR="00500821" w:rsidRPr="0060460C">
        <w:t xml:space="preserve">On or prior to </w:t>
      </w:r>
      <w:r w:rsidR="00F65C64">
        <w:t>July 31</w:t>
      </w:r>
      <w:r w:rsidR="00963EE5" w:rsidRPr="0060460C">
        <w:t>, 2021</w:t>
      </w:r>
      <w:r w:rsidR="00500821" w:rsidRPr="0060460C">
        <w:t xml:space="preserve">, the House Corporation shall provide to MIT a detailed written accounting of </w:t>
      </w:r>
      <w:r w:rsidR="00963EE5" w:rsidRPr="0060460C">
        <w:t xml:space="preserve">(1) </w:t>
      </w:r>
      <w:r w:rsidR="00500821" w:rsidRPr="0060460C">
        <w:t xml:space="preserve">each </w:t>
      </w:r>
      <w:r w:rsidR="00963EE5" w:rsidRPr="0060460C">
        <w:t>payment made</w:t>
      </w:r>
      <w:r w:rsidRPr="0060460C">
        <w:t xml:space="preserve"> by it</w:t>
      </w:r>
      <w:r w:rsidR="00963EE5" w:rsidRPr="0060460C">
        <w:t xml:space="preserve"> for Qualified Expenses and (2) each Offsetting Payment received</w:t>
      </w:r>
      <w:r w:rsidRPr="0060460C">
        <w:t xml:space="preserve"> by it</w:t>
      </w:r>
      <w:r w:rsidR="00D20CFD" w:rsidRPr="0060460C">
        <w:t xml:space="preserve">, together with any written documentation </w:t>
      </w:r>
      <w:r w:rsidR="00191662">
        <w:t>substantiating such accounting as may be</w:t>
      </w:r>
      <w:r w:rsidR="00D20CFD" w:rsidRPr="0060460C">
        <w:t xml:space="preserve"> requested by MIT</w:t>
      </w:r>
      <w:r w:rsidR="00500821" w:rsidRPr="0060460C">
        <w:t xml:space="preserve">.  </w:t>
      </w:r>
      <w:r w:rsidR="0060460C" w:rsidRPr="0060460C">
        <w:t>If</w:t>
      </w:r>
      <w:r w:rsidR="00500821" w:rsidRPr="0060460C">
        <w:t xml:space="preserve"> the </w:t>
      </w:r>
      <w:r w:rsidR="00963EE5" w:rsidRPr="0060460C">
        <w:t>difference between such actual Qualified Expenses and Offsetting Payment</w:t>
      </w:r>
      <w:r w:rsidR="00D20CFD" w:rsidRPr="0060460C">
        <w:t>s</w:t>
      </w:r>
      <w:r w:rsidR="00500821" w:rsidRPr="0060460C">
        <w:t xml:space="preserve"> is less</w:t>
      </w:r>
      <w:r w:rsidR="00561885" w:rsidRPr="0060460C">
        <w:t xml:space="preserve"> than the </w:t>
      </w:r>
      <w:r w:rsidR="007200E3">
        <w:t>“</w:t>
      </w:r>
      <w:r w:rsidR="007200E3" w:rsidRPr="0060460C">
        <w:t>Reimbursement Amount</w:t>
      </w:r>
      <w:r w:rsidR="007200E3">
        <w:t xml:space="preserve"> Subtotal”</w:t>
      </w:r>
      <w:r w:rsidR="00561885" w:rsidRPr="0060460C">
        <w:t>,</w:t>
      </w:r>
      <w:r w:rsidR="00500821" w:rsidRPr="0060460C">
        <w:t xml:space="preserve"> the House Corporation shall </w:t>
      </w:r>
      <w:r w:rsidRPr="0060460C">
        <w:t>promptly transfer</w:t>
      </w:r>
      <w:r w:rsidR="00500821" w:rsidRPr="0060460C">
        <w:t xml:space="preserve"> to MIT</w:t>
      </w:r>
      <w:r w:rsidRPr="0060460C">
        <w:t>,</w:t>
      </w:r>
      <w:r w:rsidR="00500821" w:rsidRPr="0060460C">
        <w:t xml:space="preserve"> in accordance with </w:t>
      </w:r>
      <w:r w:rsidR="001B2DFD" w:rsidRPr="0060460C">
        <w:t>payment instructions to be provided by MIT</w:t>
      </w:r>
      <w:r w:rsidRPr="0060460C">
        <w:t xml:space="preserve">, an amount equal to (x) the </w:t>
      </w:r>
      <w:r w:rsidR="007200E3">
        <w:t>“</w:t>
      </w:r>
      <w:r w:rsidR="007200E3" w:rsidRPr="0060460C">
        <w:t>Reimbursement Amount</w:t>
      </w:r>
      <w:r w:rsidR="007200E3">
        <w:t xml:space="preserve"> Subtotal”</w:t>
      </w:r>
      <w:r w:rsidRPr="0060460C">
        <w:t xml:space="preserve"> </w:t>
      </w:r>
      <w:r w:rsidRPr="0060460C">
        <w:rPr>
          <w:u w:val="single"/>
        </w:rPr>
        <w:t>minus</w:t>
      </w:r>
      <w:r w:rsidRPr="0060460C">
        <w:t xml:space="preserve"> (y) the amount the House Corporation’s actual Qualified Expenses exceed</w:t>
      </w:r>
      <w:r w:rsidR="00D20CFD" w:rsidRPr="0060460C">
        <w:t>ed</w:t>
      </w:r>
      <w:r w:rsidRPr="0060460C">
        <w:t xml:space="preserve"> its actual Offsetting Payments.</w:t>
      </w:r>
      <w:r w:rsidR="00C01638">
        <w:t xml:space="preserve">  </w:t>
      </w:r>
      <w:r w:rsidR="00C01638" w:rsidRPr="0060460C">
        <w:t xml:space="preserve">If the difference between such actual Qualified Expenses and Offsetting Payments is </w:t>
      </w:r>
      <w:r w:rsidR="00C01638">
        <w:t>greater</w:t>
      </w:r>
      <w:r w:rsidR="00C01638" w:rsidRPr="0060460C">
        <w:t xml:space="preserve"> than the </w:t>
      </w:r>
      <w:r w:rsidR="00C01638">
        <w:t>“</w:t>
      </w:r>
      <w:r w:rsidR="00C01638" w:rsidRPr="0060460C">
        <w:t>Reimbursement Amount</w:t>
      </w:r>
      <w:r w:rsidR="00C01638">
        <w:t xml:space="preserve"> </w:t>
      </w:r>
      <w:r w:rsidR="00C01638">
        <w:lastRenderedPageBreak/>
        <w:t>Subtotal”</w:t>
      </w:r>
      <w:r w:rsidR="00C01638" w:rsidRPr="0060460C">
        <w:t>,</w:t>
      </w:r>
      <w:r w:rsidR="00C01638">
        <w:t xml:space="preserve"> MIT shall issue an appropriate additional payment or credit to the House Corporation, in a manner determined by MIT.</w:t>
      </w:r>
    </w:p>
    <w:p w14:paraId="5E84BF93" w14:textId="77777777" w:rsidR="00B75A79" w:rsidRPr="0060460C" w:rsidRDefault="00B75A79" w:rsidP="00707CA9"/>
    <w:p w14:paraId="5A2F2F2B" w14:textId="5DC53B3A" w:rsidR="00F848FB" w:rsidRPr="0060460C" w:rsidRDefault="0016316D" w:rsidP="00F848FB">
      <w:r w:rsidRPr="0060460C">
        <w:t>5</w:t>
      </w:r>
      <w:r w:rsidR="00F848FB" w:rsidRPr="0060460C">
        <w:t>.</w:t>
      </w:r>
      <w:r w:rsidR="00F848FB" w:rsidRPr="0060460C">
        <w:tab/>
      </w:r>
      <w:r w:rsidR="001B2DFD" w:rsidRPr="0060460C">
        <w:rPr>
          <w:u w:val="single"/>
        </w:rPr>
        <w:t>Miscellaneous</w:t>
      </w:r>
      <w:r w:rsidR="00F848FB" w:rsidRPr="0060460C">
        <w:fldChar w:fldCharType="begin"/>
      </w:r>
      <w:r w:rsidR="00F848FB" w:rsidRPr="0060460C">
        <w:instrText>tc "</w:instrText>
      </w:r>
      <w:r w:rsidR="00F848FB" w:rsidRPr="0060460C">
        <w:tab/>
      </w:r>
      <w:r w:rsidR="00F848FB" w:rsidRPr="0060460C">
        <w:rPr>
          <w:u w:val="single"/>
        </w:rPr>
        <w:instrText>Notices</w:instrText>
      </w:r>
      <w:r w:rsidR="00F848FB" w:rsidRPr="0060460C">
        <w:instrText xml:space="preserve"> " \l 2</w:instrText>
      </w:r>
      <w:r w:rsidR="00F848FB" w:rsidRPr="0060460C">
        <w:fldChar w:fldCharType="end"/>
      </w:r>
      <w:r w:rsidR="00F848FB" w:rsidRPr="0060460C">
        <w:t>.  All notices and oth</w:t>
      </w:r>
      <w:r w:rsidR="006112E4" w:rsidRPr="0060460C">
        <w:t>er communications hereunder shall</w:t>
      </w:r>
      <w:r w:rsidR="00F848FB" w:rsidRPr="0060460C">
        <w:t xml:space="preserve"> be in writing</w:t>
      </w:r>
      <w:r w:rsidR="001B2DFD" w:rsidRPr="0060460C">
        <w:t>, which may include e-mail</w:t>
      </w:r>
      <w:r w:rsidR="00F848FB" w:rsidRPr="0060460C">
        <w:t xml:space="preserve">. </w:t>
      </w:r>
      <w:r w:rsidR="001B2DFD" w:rsidRPr="0060460C">
        <w:t>T</w:t>
      </w:r>
      <w:r w:rsidR="00F848FB" w:rsidRPr="0060460C">
        <w:t>his Agreement will not confer any rights or remedies upon any third party.</w:t>
      </w:r>
      <w:r w:rsidR="001B2DFD" w:rsidRPr="0060460C">
        <w:t xml:space="preserve">  T</w:t>
      </w:r>
      <w:r w:rsidR="00F848FB" w:rsidRPr="0060460C">
        <w:t>his Agreement is not assignable by either party.</w:t>
      </w:r>
      <w:r w:rsidR="001B2DFD" w:rsidRPr="0060460C">
        <w:t xml:space="preserve">  T</w:t>
      </w:r>
      <w:r w:rsidR="00F848FB" w:rsidRPr="0060460C">
        <w:t>his Agreement may be executed in one or more counterparts</w:t>
      </w:r>
      <w:r w:rsidR="001B2DFD" w:rsidRPr="0060460C">
        <w:t xml:space="preserve"> (including via PDF or </w:t>
      </w:r>
      <w:proofErr w:type="gramStart"/>
      <w:r w:rsidR="001B2DFD" w:rsidRPr="0060460C">
        <w:t>other</w:t>
      </w:r>
      <w:proofErr w:type="gramEnd"/>
      <w:r w:rsidR="001B2DFD" w:rsidRPr="0060460C">
        <w:t xml:space="preserve"> electronic signature)</w:t>
      </w:r>
      <w:r w:rsidR="00F848FB" w:rsidRPr="0060460C">
        <w:t>.</w:t>
      </w:r>
      <w:r w:rsidR="001B2DFD" w:rsidRPr="0060460C">
        <w:t xml:space="preserve">  </w:t>
      </w:r>
      <w:r w:rsidR="00F848FB" w:rsidRPr="0060460C">
        <w:t>This Agreement will be governed by and construed in accordance with the laws of the Commonwealth of Massachusetts</w:t>
      </w:r>
      <w:r w:rsidR="001B2DFD" w:rsidRPr="0060460C">
        <w:t xml:space="preserve">.  </w:t>
      </w:r>
    </w:p>
    <w:p w14:paraId="029969A1" w14:textId="77777777" w:rsidR="00B75A79" w:rsidRPr="0060460C" w:rsidRDefault="00B75A79" w:rsidP="00F848FB"/>
    <w:p w14:paraId="5DF34D5A" w14:textId="56F137AA" w:rsidR="00F132F7" w:rsidRPr="0060460C" w:rsidRDefault="00F132F7" w:rsidP="00E17EF4">
      <w:pPr>
        <w:jc w:val="center"/>
      </w:pPr>
      <w:r w:rsidRPr="0060460C">
        <w:rPr>
          <w:i/>
        </w:rPr>
        <w:t>(signature page follows)</w:t>
      </w:r>
      <w:r w:rsidRPr="0060460C">
        <w:br w:type="page"/>
      </w:r>
    </w:p>
    <w:p w14:paraId="59EB66C3" w14:textId="77777777" w:rsidR="00F132F7" w:rsidRPr="0060460C" w:rsidRDefault="00F132F7" w:rsidP="00F132F7">
      <w:pPr>
        <w:ind w:firstLine="720"/>
      </w:pPr>
      <w:r w:rsidRPr="0060460C">
        <w:lastRenderedPageBreak/>
        <w:t>IN WITNESS WHEREOF, the parties have caused this Agreement to be executed as a sealed instrument by and through their respective duly authorized representatives, as of the date first above written.</w:t>
      </w:r>
    </w:p>
    <w:p w14:paraId="36D2245A" w14:textId="77777777" w:rsidR="00F132F7" w:rsidRPr="0060460C" w:rsidRDefault="00F132F7" w:rsidP="00F132F7"/>
    <w:p w14:paraId="36C95E8C" w14:textId="77777777" w:rsidR="00F132F7" w:rsidRPr="0060460C" w:rsidRDefault="00F132F7" w:rsidP="00F132F7">
      <w:r w:rsidRPr="0060460C">
        <w:rPr>
          <w:b/>
        </w:rPr>
        <w:t>MIT</w:t>
      </w:r>
    </w:p>
    <w:p w14:paraId="663CF022" w14:textId="77777777" w:rsidR="00F132F7" w:rsidRPr="0060460C" w:rsidRDefault="00F132F7" w:rsidP="00F132F7"/>
    <w:p w14:paraId="4AD528EF" w14:textId="77777777" w:rsidR="00F132F7" w:rsidRPr="0060460C" w:rsidRDefault="00F132F7" w:rsidP="00F132F7">
      <w:pPr>
        <w:rPr>
          <w:u w:val="single"/>
        </w:rPr>
      </w:pPr>
      <w:r w:rsidRPr="0060460C">
        <w:rPr>
          <w:u w:val="single"/>
        </w:rPr>
        <w:tab/>
      </w:r>
      <w:r w:rsidRPr="0060460C">
        <w:rPr>
          <w:u w:val="single"/>
        </w:rPr>
        <w:tab/>
      </w:r>
      <w:r w:rsidRPr="0060460C">
        <w:rPr>
          <w:u w:val="single"/>
        </w:rPr>
        <w:tab/>
      </w:r>
      <w:r w:rsidRPr="0060460C">
        <w:rPr>
          <w:u w:val="single"/>
        </w:rPr>
        <w:tab/>
      </w:r>
      <w:r w:rsidRPr="0060460C">
        <w:rPr>
          <w:u w:val="single"/>
        </w:rPr>
        <w:tab/>
      </w:r>
    </w:p>
    <w:p w14:paraId="07F2C1C1" w14:textId="29994B25" w:rsidR="001A094B" w:rsidRPr="0060460C" w:rsidRDefault="001A094B" w:rsidP="00F132F7">
      <w:r w:rsidRPr="0060460C">
        <w:t>Organization Name:  Massachusetts Institute of Technology</w:t>
      </w:r>
    </w:p>
    <w:p w14:paraId="6E9037D5" w14:textId="59E337B8" w:rsidR="00F132F7" w:rsidRPr="0060460C" w:rsidRDefault="001A094B" w:rsidP="00F132F7">
      <w:r w:rsidRPr="0060460C">
        <w:t xml:space="preserve">Signatory </w:t>
      </w:r>
      <w:r w:rsidR="00F132F7" w:rsidRPr="0060460C">
        <w:t>Name:</w:t>
      </w:r>
    </w:p>
    <w:p w14:paraId="2DBACC82" w14:textId="59E2B9D6" w:rsidR="00F132F7" w:rsidRPr="0060460C" w:rsidRDefault="00F132F7" w:rsidP="00F132F7">
      <w:r w:rsidRPr="0060460C">
        <w:t>Title:</w:t>
      </w:r>
      <w:r w:rsidR="00963EE5" w:rsidRPr="0060460C">
        <w:t xml:space="preserve"> </w:t>
      </w:r>
    </w:p>
    <w:p w14:paraId="724460E1" w14:textId="77777777" w:rsidR="00F132F7" w:rsidRPr="0060460C" w:rsidRDefault="00F132F7" w:rsidP="00F132F7"/>
    <w:p w14:paraId="444586C8" w14:textId="77777777" w:rsidR="00F132F7" w:rsidRPr="0060460C" w:rsidRDefault="00F132F7" w:rsidP="00F132F7"/>
    <w:p w14:paraId="3A5087FD" w14:textId="77777777" w:rsidR="00F132F7" w:rsidRPr="0060460C" w:rsidRDefault="00F132F7" w:rsidP="00F132F7"/>
    <w:p w14:paraId="3E7DCCE0" w14:textId="77777777" w:rsidR="00F132F7" w:rsidRPr="0060460C" w:rsidRDefault="00F132F7" w:rsidP="00F132F7">
      <w:pPr>
        <w:rPr>
          <w:b/>
        </w:rPr>
      </w:pPr>
      <w:r w:rsidRPr="0060460C">
        <w:rPr>
          <w:b/>
        </w:rPr>
        <w:t>HOUSE CORPORATION</w:t>
      </w:r>
    </w:p>
    <w:p w14:paraId="7B2990A7" w14:textId="77777777" w:rsidR="00F132F7" w:rsidRPr="0060460C" w:rsidRDefault="00F132F7" w:rsidP="00F132F7">
      <w:pPr>
        <w:rPr>
          <w:b/>
        </w:rPr>
      </w:pPr>
    </w:p>
    <w:p w14:paraId="049F4A5C" w14:textId="77777777" w:rsidR="00F132F7" w:rsidRPr="0060460C" w:rsidRDefault="00F132F7" w:rsidP="00F132F7">
      <w:pPr>
        <w:rPr>
          <w:u w:val="single"/>
        </w:rPr>
      </w:pPr>
      <w:r w:rsidRPr="0060460C">
        <w:rPr>
          <w:u w:val="single"/>
        </w:rPr>
        <w:tab/>
      </w:r>
      <w:r w:rsidRPr="0060460C">
        <w:rPr>
          <w:u w:val="single"/>
        </w:rPr>
        <w:tab/>
      </w:r>
      <w:r w:rsidRPr="0060460C">
        <w:rPr>
          <w:u w:val="single"/>
        </w:rPr>
        <w:tab/>
      </w:r>
      <w:r w:rsidRPr="0060460C">
        <w:rPr>
          <w:u w:val="single"/>
        </w:rPr>
        <w:tab/>
      </w:r>
      <w:r w:rsidRPr="0060460C">
        <w:rPr>
          <w:u w:val="single"/>
        </w:rPr>
        <w:tab/>
      </w:r>
    </w:p>
    <w:p w14:paraId="196ABFE6" w14:textId="080A62B4" w:rsidR="001A094B" w:rsidRPr="0060460C" w:rsidRDefault="001A094B" w:rsidP="00F132F7">
      <w:r w:rsidRPr="0060460C">
        <w:t>Organization Name:</w:t>
      </w:r>
    </w:p>
    <w:p w14:paraId="6DF47047" w14:textId="22B928F3" w:rsidR="00F132F7" w:rsidRPr="0060460C" w:rsidRDefault="001A094B" w:rsidP="00F132F7">
      <w:r w:rsidRPr="0060460C">
        <w:t xml:space="preserve">Signatory </w:t>
      </w:r>
      <w:r w:rsidR="00F132F7" w:rsidRPr="0060460C">
        <w:t>Name:</w:t>
      </w:r>
    </w:p>
    <w:p w14:paraId="55845139" w14:textId="77777777" w:rsidR="00F132F7" w:rsidRPr="0060460C" w:rsidRDefault="00F132F7" w:rsidP="00F132F7">
      <w:r w:rsidRPr="0060460C">
        <w:t>Title:</w:t>
      </w:r>
    </w:p>
    <w:p w14:paraId="502CD43E" w14:textId="77777777" w:rsidR="00F132F7" w:rsidRPr="0060460C" w:rsidRDefault="00F132F7" w:rsidP="00F132F7">
      <w:pPr>
        <w:rPr>
          <w:b/>
        </w:rPr>
      </w:pPr>
    </w:p>
    <w:p w14:paraId="62D734E0" w14:textId="77777777" w:rsidR="00A1100A" w:rsidRPr="0060460C" w:rsidRDefault="00F132F7" w:rsidP="00F132F7">
      <w:r w:rsidRPr="0060460C">
        <w:tab/>
      </w:r>
    </w:p>
    <w:p w14:paraId="40D5EB78" w14:textId="3BDFBE6E" w:rsidR="00FA35FC" w:rsidRPr="0060460C" w:rsidRDefault="00A1100A" w:rsidP="009D2E9C">
      <w:pPr>
        <w:rPr>
          <w:b/>
        </w:rPr>
      </w:pPr>
      <w:r w:rsidRPr="0060460C">
        <w:br w:type="page"/>
      </w:r>
      <w:r w:rsidR="0064620E" w:rsidRPr="0060460C">
        <w:rPr>
          <w:b/>
        </w:rPr>
        <w:lastRenderedPageBreak/>
        <w:t xml:space="preserve"> </w:t>
      </w:r>
    </w:p>
    <w:p w14:paraId="49C7690C" w14:textId="2833A203" w:rsidR="009D2E9C" w:rsidRPr="0060460C" w:rsidRDefault="00FB3897" w:rsidP="009D2E9C">
      <w:pPr>
        <w:jc w:val="center"/>
        <w:rPr>
          <w:b/>
        </w:rPr>
      </w:pPr>
      <w:r w:rsidRPr="0060460C">
        <w:rPr>
          <w:b/>
        </w:rPr>
        <w:t>REIMBURSEMENT</w:t>
      </w:r>
      <w:r w:rsidR="009D2E9C" w:rsidRPr="0060460C">
        <w:rPr>
          <w:b/>
        </w:rPr>
        <w:t xml:space="preserve"> PAYMENT CALCULATION SCHEDULE</w:t>
      </w:r>
    </w:p>
    <w:p w14:paraId="0215C702" w14:textId="77777777" w:rsidR="009D2E9C" w:rsidRPr="0060460C" w:rsidRDefault="009D2E9C" w:rsidP="009D2E9C">
      <w:pPr>
        <w:jc w:val="center"/>
        <w:rPr>
          <w:b/>
        </w:rPr>
      </w:pPr>
    </w:p>
    <w:tbl>
      <w:tblPr>
        <w:tblStyle w:val="TableGrid"/>
        <w:tblW w:w="9475" w:type="dxa"/>
        <w:tblLook w:val="04A0" w:firstRow="1" w:lastRow="0" w:firstColumn="1" w:lastColumn="0" w:noHBand="0" w:noVBand="1"/>
      </w:tblPr>
      <w:tblGrid>
        <w:gridCol w:w="3865"/>
        <w:gridCol w:w="3740"/>
        <w:gridCol w:w="1870"/>
      </w:tblGrid>
      <w:tr w:rsidR="00F65C64" w:rsidRPr="0060460C" w14:paraId="4088DE2E" w14:textId="77777777" w:rsidTr="00E92C6E">
        <w:tc>
          <w:tcPr>
            <w:tcW w:w="3865" w:type="dxa"/>
            <w:shd w:val="clear" w:color="auto" w:fill="8EAADB" w:themeFill="accent5" w:themeFillTint="99"/>
            <w:vAlign w:val="bottom"/>
          </w:tcPr>
          <w:p w14:paraId="39D6D366" w14:textId="67B05E17" w:rsidR="00F65C64" w:rsidRPr="0060460C" w:rsidRDefault="00F65C64" w:rsidP="00963EE5">
            <w:pPr>
              <w:jc w:val="center"/>
              <w:rPr>
                <w:b/>
                <w:color w:val="FFFFFF" w:themeColor="background1"/>
              </w:rPr>
            </w:pPr>
            <w:r w:rsidRPr="0060460C">
              <w:rPr>
                <w:b/>
                <w:color w:val="FFFFFF" w:themeColor="background1"/>
              </w:rPr>
              <w:t>Expense Category</w:t>
            </w:r>
          </w:p>
        </w:tc>
        <w:tc>
          <w:tcPr>
            <w:tcW w:w="3740" w:type="dxa"/>
            <w:shd w:val="clear" w:color="auto" w:fill="8EAADB" w:themeFill="accent5" w:themeFillTint="99"/>
            <w:vAlign w:val="bottom"/>
          </w:tcPr>
          <w:p w14:paraId="5CB95548" w14:textId="006BD150" w:rsidR="00F65C64" w:rsidRPr="0060460C" w:rsidRDefault="00F65C64" w:rsidP="00963EE5">
            <w:pPr>
              <w:jc w:val="center"/>
              <w:rPr>
                <w:b/>
                <w:color w:val="FFFFFF" w:themeColor="background1"/>
              </w:rPr>
            </w:pPr>
            <w:r>
              <w:rPr>
                <w:b/>
                <w:color w:val="FFFFFF" w:themeColor="background1"/>
              </w:rPr>
              <w:t>Spring</w:t>
            </w:r>
            <w:r w:rsidRPr="0060460C">
              <w:rPr>
                <w:b/>
                <w:color w:val="FFFFFF" w:themeColor="background1"/>
              </w:rPr>
              <w:t xml:space="preserve"> 202</w:t>
            </w:r>
            <w:r>
              <w:rPr>
                <w:b/>
                <w:color w:val="FFFFFF" w:themeColor="background1"/>
              </w:rPr>
              <w:t>1</w:t>
            </w:r>
            <w:r w:rsidRPr="0060460C">
              <w:rPr>
                <w:b/>
                <w:color w:val="FFFFFF" w:themeColor="background1"/>
              </w:rPr>
              <w:t xml:space="preserve"> (</w:t>
            </w:r>
            <w:r>
              <w:rPr>
                <w:b/>
                <w:color w:val="FFFFFF" w:themeColor="background1"/>
              </w:rPr>
              <w:t>Jan</w:t>
            </w:r>
            <w:r w:rsidRPr="0060460C">
              <w:rPr>
                <w:b/>
                <w:color w:val="FFFFFF" w:themeColor="background1"/>
              </w:rPr>
              <w:t>-</w:t>
            </w:r>
            <w:r>
              <w:rPr>
                <w:b/>
                <w:color w:val="FFFFFF" w:themeColor="background1"/>
              </w:rPr>
              <w:t>May</w:t>
            </w:r>
            <w:r w:rsidRPr="0060460C">
              <w:rPr>
                <w:b/>
                <w:color w:val="FFFFFF" w:themeColor="background1"/>
              </w:rPr>
              <w:t>)</w:t>
            </w:r>
          </w:p>
          <w:p w14:paraId="1389D4FC" w14:textId="7B7819EE" w:rsidR="00F65C64" w:rsidRPr="0060460C" w:rsidRDefault="00F65C64" w:rsidP="00963EE5">
            <w:pPr>
              <w:jc w:val="center"/>
              <w:rPr>
                <w:b/>
                <w:color w:val="FFFFFF" w:themeColor="background1"/>
              </w:rPr>
            </w:pPr>
          </w:p>
        </w:tc>
        <w:tc>
          <w:tcPr>
            <w:tcW w:w="1870" w:type="dxa"/>
            <w:shd w:val="clear" w:color="auto" w:fill="8EAADB" w:themeFill="accent5" w:themeFillTint="99"/>
            <w:vAlign w:val="bottom"/>
          </w:tcPr>
          <w:p w14:paraId="29BC86B7" w14:textId="64E33FAC" w:rsidR="00F65C64" w:rsidRPr="0060460C" w:rsidRDefault="00F65C64" w:rsidP="00963EE5">
            <w:pPr>
              <w:jc w:val="center"/>
              <w:rPr>
                <w:b/>
                <w:color w:val="FFFFFF" w:themeColor="background1"/>
              </w:rPr>
            </w:pPr>
            <w:r w:rsidRPr="0060460C">
              <w:rPr>
                <w:b/>
                <w:color w:val="FFFFFF" w:themeColor="background1"/>
              </w:rPr>
              <w:t>Total</w:t>
            </w:r>
          </w:p>
        </w:tc>
      </w:tr>
      <w:tr w:rsidR="00F65C64" w:rsidRPr="0060460C" w14:paraId="772C224B" w14:textId="77777777" w:rsidTr="00E92C6E">
        <w:tc>
          <w:tcPr>
            <w:tcW w:w="3865" w:type="dxa"/>
          </w:tcPr>
          <w:p w14:paraId="36A3B09B" w14:textId="357CE175" w:rsidR="00F65C64" w:rsidRPr="0060460C" w:rsidRDefault="00F65C64" w:rsidP="009D2E9C">
            <w:r w:rsidRPr="0060460C">
              <w:t>Mortgage or Lease</w:t>
            </w:r>
          </w:p>
        </w:tc>
        <w:tc>
          <w:tcPr>
            <w:tcW w:w="3740" w:type="dxa"/>
          </w:tcPr>
          <w:p w14:paraId="5E2B5F0C" w14:textId="77777777" w:rsidR="00F65C64" w:rsidRPr="0060460C" w:rsidRDefault="00F65C64" w:rsidP="009D2E9C"/>
        </w:tc>
        <w:tc>
          <w:tcPr>
            <w:tcW w:w="1870" w:type="dxa"/>
          </w:tcPr>
          <w:p w14:paraId="40EA4A2B" w14:textId="77777777" w:rsidR="00F65C64" w:rsidRPr="0060460C" w:rsidRDefault="00F65C64" w:rsidP="009D2E9C"/>
        </w:tc>
      </w:tr>
      <w:tr w:rsidR="00F65C64" w:rsidRPr="0060460C" w14:paraId="413AA954" w14:textId="77777777" w:rsidTr="00E92C6E">
        <w:tc>
          <w:tcPr>
            <w:tcW w:w="3865" w:type="dxa"/>
          </w:tcPr>
          <w:p w14:paraId="0F22BAE4" w14:textId="5CDBA3AD" w:rsidR="00F65C64" w:rsidRPr="0060460C" w:rsidRDefault="00F65C64" w:rsidP="009D2E9C">
            <w:r w:rsidRPr="0060460C">
              <w:t>Property Taxes</w:t>
            </w:r>
          </w:p>
        </w:tc>
        <w:tc>
          <w:tcPr>
            <w:tcW w:w="3740" w:type="dxa"/>
          </w:tcPr>
          <w:p w14:paraId="3E1BD5D1" w14:textId="77777777" w:rsidR="00F65C64" w:rsidRPr="0060460C" w:rsidRDefault="00F65C64" w:rsidP="009D2E9C"/>
        </w:tc>
        <w:tc>
          <w:tcPr>
            <w:tcW w:w="1870" w:type="dxa"/>
          </w:tcPr>
          <w:p w14:paraId="4CE67C48" w14:textId="77777777" w:rsidR="00F65C64" w:rsidRPr="0060460C" w:rsidRDefault="00F65C64" w:rsidP="009D2E9C"/>
        </w:tc>
      </w:tr>
      <w:tr w:rsidR="00F65C64" w:rsidRPr="0060460C" w14:paraId="514296D6" w14:textId="77777777" w:rsidTr="00E92C6E">
        <w:tc>
          <w:tcPr>
            <w:tcW w:w="3865" w:type="dxa"/>
          </w:tcPr>
          <w:p w14:paraId="549E2ED2" w14:textId="2EBE3C5D" w:rsidR="00F65C64" w:rsidRPr="0060460C" w:rsidRDefault="00F65C64" w:rsidP="009D2E9C">
            <w:r w:rsidRPr="0060460C">
              <w:t>Insurance</w:t>
            </w:r>
          </w:p>
        </w:tc>
        <w:tc>
          <w:tcPr>
            <w:tcW w:w="3740" w:type="dxa"/>
          </w:tcPr>
          <w:p w14:paraId="1782CE0C" w14:textId="77777777" w:rsidR="00F65C64" w:rsidRPr="0060460C" w:rsidRDefault="00F65C64" w:rsidP="009D2E9C"/>
        </w:tc>
        <w:tc>
          <w:tcPr>
            <w:tcW w:w="1870" w:type="dxa"/>
          </w:tcPr>
          <w:p w14:paraId="10275DB5" w14:textId="77777777" w:rsidR="00F65C64" w:rsidRPr="0060460C" w:rsidRDefault="00F65C64" w:rsidP="009D2E9C"/>
        </w:tc>
      </w:tr>
      <w:tr w:rsidR="00F65C64" w:rsidRPr="0060460C" w14:paraId="7BBDBA10" w14:textId="77777777" w:rsidTr="00E92C6E">
        <w:tc>
          <w:tcPr>
            <w:tcW w:w="3865" w:type="dxa"/>
          </w:tcPr>
          <w:p w14:paraId="03AFFE13" w14:textId="7AD575AD" w:rsidR="00F65C64" w:rsidRPr="0060460C" w:rsidRDefault="00F65C64" w:rsidP="009D2E9C">
            <w:r w:rsidRPr="0060460C">
              <w:t>Utilities</w:t>
            </w:r>
          </w:p>
        </w:tc>
        <w:tc>
          <w:tcPr>
            <w:tcW w:w="3740" w:type="dxa"/>
          </w:tcPr>
          <w:p w14:paraId="14351C4B" w14:textId="77777777" w:rsidR="00F65C64" w:rsidRPr="0060460C" w:rsidRDefault="00F65C64" w:rsidP="009D2E9C"/>
        </w:tc>
        <w:tc>
          <w:tcPr>
            <w:tcW w:w="1870" w:type="dxa"/>
          </w:tcPr>
          <w:p w14:paraId="548B36AF" w14:textId="77777777" w:rsidR="00F65C64" w:rsidRPr="0060460C" w:rsidRDefault="00F65C64" w:rsidP="009D2E9C"/>
        </w:tc>
      </w:tr>
      <w:tr w:rsidR="00F65C64" w:rsidRPr="0060460C" w14:paraId="31A14EE4" w14:textId="77777777" w:rsidTr="00E92C6E">
        <w:tc>
          <w:tcPr>
            <w:tcW w:w="3865" w:type="dxa"/>
          </w:tcPr>
          <w:p w14:paraId="3A9C5168" w14:textId="72BAC67E" w:rsidR="00F65C64" w:rsidRPr="0060460C" w:rsidRDefault="00F65C64" w:rsidP="009D2E9C">
            <w:r w:rsidRPr="0060460C">
              <w:t>Inspections &amp; Maintenance</w:t>
            </w:r>
          </w:p>
        </w:tc>
        <w:tc>
          <w:tcPr>
            <w:tcW w:w="3740" w:type="dxa"/>
          </w:tcPr>
          <w:p w14:paraId="0A0B1F76" w14:textId="77777777" w:rsidR="00F65C64" w:rsidRPr="0060460C" w:rsidRDefault="00F65C64" w:rsidP="009D2E9C"/>
        </w:tc>
        <w:tc>
          <w:tcPr>
            <w:tcW w:w="1870" w:type="dxa"/>
          </w:tcPr>
          <w:p w14:paraId="67C2A784" w14:textId="77777777" w:rsidR="00F65C64" w:rsidRPr="0060460C" w:rsidRDefault="00F65C64" w:rsidP="009D2E9C"/>
        </w:tc>
      </w:tr>
      <w:tr w:rsidR="00F65C64" w:rsidRPr="0060460C" w14:paraId="32B75C44" w14:textId="77777777" w:rsidTr="00E92C6E">
        <w:tc>
          <w:tcPr>
            <w:tcW w:w="3865" w:type="dxa"/>
            <w:shd w:val="clear" w:color="auto" w:fill="D9E2F3" w:themeFill="accent5" w:themeFillTint="33"/>
          </w:tcPr>
          <w:p w14:paraId="35544C33" w14:textId="5901308A" w:rsidR="00F65C64" w:rsidRPr="0060460C" w:rsidRDefault="00F65C64" w:rsidP="009D2E9C">
            <w:r w:rsidRPr="0060460C">
              <w:t>Total Qualified Expenses</w:t>
            </w:r>
          </w:p>
        </w:tc>
        <w:tc>
          <w:tcPr>
            <w:tcW w:w="3740" w:type="dxa"/>
            <w:shd w:val="clear" w:color="auto" w:fill="D9E2F3" w:themeFill="accent5" w:themeFillTint="33"/>
          </w:tcPr>
          <w:p w14:paraId="4B613BC3" w14:textId="77777777" w:rsidR="00F65C64" w:rsidRPr="0060460C" w:rsidRDefault="00F65C64" w:rsidP="009D2E9C"/>
        </w:tc>
        <w:tc>
          <w:tcPr>
            <w:tcW w:w="1870" w:type="dxa"/>
            <w:shd w:val="clear" w:color="auto" w:fill="D9E2F3" w:themeFill="accent5" w:themeFillTint="33"/>
          </w:tcPr>
          <w:p w14:paraId="6C3E7264" w14:textId="77777777" w:rsidR="00F65C64" w:rsidRPr="0060460C" w:rsidRDefault="00F65C64" w:rsidP="009D2E9C"/>
        </w:tc>
      </w:tr>
      <w:tr w:rsidR="00F65C64" w:rsidRPr="0060460C" w14:paraId="7A643C2D" w14:textId="77777777" w:rsidTr="00E92C6E">
        <w:tc>
          <w:tcPr>
            <w:tcW w:w="3865" w:type="dxa"/>
          </w:tcPr>
          <w:p w14:paraId="32558A60" w14:textId="630624FF" w:rsidR="00F65C64" w:rsidRPr="0060460C" w:rsidRDefault="00F65C64" w:rsidP="009D2E9C">
            <w:r w:rsidRPr="0060460C">
              <w:t>Rents Collected</w:t>
            </w:r>
          </w:p>
        </w:tc>
        <w:tc>
          <w:tcPr>
            <w:tcW w:w="3740" w:type="dxa"/>
          </w:tcPr>
          <w:p w14:paraId="21D51A96" w14:textId="77777777" w:rsidR="00F65C64" w:rsidRPr="0060460C" w:rsidRDefault="00F65C64" w:rsidP="009D2E9C"/>
        </w:tc>
        <w:tc>
          <w:tcPr>
            <w:tcW w:w="1870" w:type="dxa"/>
          </w:tcPr>
          <w:p w14:paraId="0769A178" w14:textId="77777777" w:rsidR="00F65C64" w:rsidRPr="0060460C" w:rsidRDefault="00F65C64" w:rsidP="009D2E9C"/>
        </w:tc>
      </w:tr>
      <w:tr w:rsidR="00F65C64" w:rsidRPr="0060460C" w14:paraId="56DBFDF9" w14:textId="77777777" w:rsidTr="00E92C6E">
        <w:tc>
          <w:tcPr>
            <w:tcW w:w="3865" w:type="dxa"/>
            <w:tcBorders>
              <w:bottom w:val="single" w:sz="4" w:space="0" w:color="auto"/>
            </w:tcBorders>
          </w:tcPr>
          <w:p w14:paraId="58A41E6A" w14:textId="47389E5B" w:rsidR="00F65C64" w:rsidRPr="0060460C" w:rsidRDefault="00F65C64" w:rsidP="009D2E9C">
            <w:r w:rsidRPr="0060460C">
              <w:t>GRA Subsidies</w:t>
            </w:r>
          </w:p>
        </w:tc>
        <w:tc>
          <w:tcPr>
            <w:tcW w:w="3740" w:type="dxa"/>
            <w:tcBorders>
              <w:bottom w:val="single" w:sz="4" w:space="0" w:color="auto"/>
            </w:tcBorders>
          </w:tcPr>
          <w:p w14:paraId="60092442" w14:textId="77777777" w:rsidR="00F65C64" w:rsidRPr="0060460C" w:rsidRDefault="00F65C64" w:rsidP="009D2E9C"/>
        </w:tc>
        <w:tc>
          <w:tcPr>
            <w:tcW w:w="1870" w:type="dxa"/>
            <w:tcBorders>
              <w:bottom w:val="single" w:sz="4" w:space="0" w:color="auto"/>
            </w:tcBorders>
          </w:tcPr>
          <w:p w14:paraId="59C0DC9B" w14:textId="77777777" w:rsidR="00F65C64" w:rsidRPr="0060460C" w:rsidRDefault="00F65C64" w:rsidP="009D2E9C"/>
        </w:tc>
      </w:tr>
      <w:tr w:rsidR="00F65C64" w:rsidRPr="0060460C" w14:paraId="271707A4" w14:textId="77777777" w:rsidTr="00E92C6E">
        <w:tc>
          <w:tcPr>
            <w:tcW w:w="3865" w:type="dxa"/>
            <w:shd w:val="clear" w:color="auto" w:fill="FFFFFF" w:themeFill="background1"/>
          </w:tcPr>
          <w:p w14:paraId="14620A5B" w14:textId="161630BD" w:rsidR="00F65C64" w:rsidRPr="0060460C" w:rsidRDefault="00F65C64" w:rsidP="009D2E9C">
            <w:r w:rsidRPr="0060460C">
              <w:t>Other Payments</w:t>
            </w:r>
          </w:p>
        </w:tc>
        <w:tc>
          <w:tcPr>
            <w:tcW w:w="3740" w:type="dxa"/>
            <w:shd w:val="clear" w:color="auto" w:fill="FFFFFF" w:themeFill="background1"/>
          </w:tcPr>
          <w:p w14:paraId="371CD70F" w14:textId="77777777" w:rsidR="00F65C64" w:rsidRPr="0060460C" w:rsidRDefault="00F65C64" w:rsidP="009D2E9C"/>
        </w:tc>
        <w:tc>
          <w:tcPr>
            <w:tcW w:w="1870" w:type="dxa"/>
            <w:shd w:val="clear" w:color="auto" w:fill="FFFFFF" w:themeFill="background1"/>
          </w:tcPr>
          <w:p w14:paraId="68733722" w14:textId="77777777" w:rsidR="00F65C64" w:rsidRPr="0060460C" w:rsidRDefault="00F65C64" w:rsidP="009D2E9C"/>
        </w:tc>
      </w:tr>
      <w:tr w:rsidR="00F65C64" w:rsidRPr="0088154F" w14:paraId="63626C0C" w14:textId="77777777" w:rsidTr="00E92C6E">
        <w:tc>
          <w:tcPr>
            <w:tcW w:w="3865" w:type="dxa"/>
            <w:shd w:val="clear" w:color="auto" w:fill="D9E2F3" w:themeFill="accent5" w:themeFillTint="33"/>
          </w:tcPr>
          <w:p w14:paraId="50AB273A" w14:textId="4987BD1E" w:rsidR="00F65C64" w:rsidRPr="0088154F" w:rsidRDefault="00F65C64" w:rsidP="009D2E9C">
            <w:r w:rsidRPr="0060460C">
              <w:t>Reimbursement Amount</w:t>
            </w:r>
            <w:r>
              <w:t xml:space="preserve"> Subtotal</w:t>
            </w:r>
          </w:p>
        </w:tc>
        <w:tc>
          <w:tcPr>
            <w:tcW w:w="3740" w:type="dxa"/>
            <w:shd w:val="clear" w:color="auto" w:fill="D9E2F3" w:themeFill="accent5" w:themeFillTint="33"/>
          </w:tcPr>
          <w:p w14:paraId="7043D676" w14:textId="77777777" w:rsidR="00F65C64" w:rsidRPr="0088154F" w:rsidRDefault="00F65C64" w:rsidP="009D2E9C"/>
        </w:tc>
        <w:tc>
          <w:tcPr>
            <w:tcW w:w="1870" w:type="dxa"/>
            <w:shd w:val="clear" w:color="auto" w:fill="D9E2F3" w:themeFill="accent5" w:themeFillTint="33"/>
          </w:tcPr>
          <w:p w14:paraId="75875204" w14:textId="77777777" w:rsidR="00F65C64" w:rsidRPr="0088154F" w:rsidRDefault="00F65C64" w:rsidP="009D2E9C"/>
        </w:tc>
      </w:tr>
      <w:tr w:rsidR="00F65C64" w:rsidRPr="0088154F" w14:paraId="4115F459" w14:textId="77777777" w:rsidTr="00E92C6E">
        <w:tc>
          <w:tcPr>
            <w:tcW w:w="3865" w:type="dxa"/>
            <w:shd w:val="clear" w:color="auto" w:fill="D9E2F3" w:themeFill="accent5" w:themeFillTint="33"/>
          </w:tcPr>
          <w:p w14:paraId="6DDF3DB9" w14:textId="12C0E79B" w:rsidR="00F65C64" w:rsidRPr="0060460C" w:rsidDel="00F65C64" w:rsidRDefault="007200E3" w:rsidP="007200E3">
            <w:r>
              <w:t>Summer/</w:t>
            </w:r>
            <w:r w:rsidR="00F65C64">
              <w:t xml:space="preserve">Fall 2020 Reconciliation </w:t>
            </w:r>
            <w:r w:rsidR="00C01638">
              <w:t xml:space="preserve">Credit or Debit </w:t>
            </w:r>
            <w:r>
              <w:t>Amount, if any</w:t>
            </w:r>
          </w:p>
        </w:tc>
        <w:tc>
          <w:tcPr>
            <w:tcW w:w="3740" w:type="dxa"/>
            <w:shd w:val="clear" w:color="auto" w:fill="D9E2F3" w:themeFill="accent5" w:themeFillTint="33"/>
          </w:tcPr>
          <w:p w14:paraId="284FD73F" w14:textId="77777777" w:rsidR="00F65C64" w:rsidRPr="0088154F" w:rsidRDefault="00F65C64" w:rsidP="009D2E9C"/>
        </w:tc>
        <w:tc>
          <w:tcPr>
            <w:tcW w:w="1870" w:type="dxa"/>
            <w:shd w:val="clear" w:color="auto" w:fill="D9E2F3" w:themeFill="accent5" w:themeFillTint="33"/>
          </w:tcPr>
          <w:p w14:paraId="1A015B3D" w14:textId="77777777" w:rsidR="00F65C64" w:rsidRPr="0088154F" w:rsidRDefault="00F65C64" w:rsidP="009D2E9C"/>
        </w:tc>
      </w:tr>
      <w:tr w:rsidR="00F65C64" w:rsidRPr="0088154F" w14:paraId="31ADA8BA" w14:textId="77777777" w:rsidTr="00E92C6E">
        <w:tc>
          <w:tcPr>
            <w:tcW w:w="3865" w:type="dxa"/>
            <w:shd w:val="clear" w:color="auto" w:fill="D9E2F3" w:themeFill="accent5" w:themeFillTint="33"/>
          </w:tcPr>
          <w:p w14:paraId="665E3C81" w14:textId="3B7F3212" w:rsidR="00F65C64" w:rsidRPr="00F65C64" w:rsidDel="00F65C64" w:rsidRDefault="00F65C64" w:rsidP="009D2E9C">
            <w:pPr>
              <w:rPr>
                <w:b/>
              </w:rPr>
            </w:pPr>
            <w:r>
              <w:rPr>
                <w:b/>
              </w:rPr>
              <w:t>TOTAL REIMBURSEMENT AMOUNT</w:t>
            </w:r>
            <w:r w:rsidR="00E92C6E">
              <w:rPr>
                <w:b/>
              </w:rPr>
              <w:t xml:space="preserve"> (SPRING)</w:t>
            </w:r>
          </w:p>
        </w:tc>
        <w:tc>
          <w:tcPr>
            <w:tcW w:w="3740" w:type="dxa"/>
            <w:shd w:val="clear" w:color="auto" w:fill="D9E2F3" w:themeFill="accent5" w:themeFillTint="33"/>
          </w:tcPr>
          <w:p w14:paraId="48440C29" w14:textId="77777777" w:rsidR="00F65C64" w:rsidRPr="0088154F" w:rsidRDefault="00F65C64" w:rsidP="009D2E9C"/>
        </w:tc>
        <w:tc>
          <w:tcPr>
            <w:tcW w:w="1870" w:type="dxa"/>
            <w:shd w:val="clear" w:color="auto" w:fill="D9E2F3" w:themeFill="accent5" w:themeFillTint="33"/>
          </w:tcPr>
          <w:p w14:paraId="75935EED" w14:textId="77777777" w:rsidR="00F65C64" w:rsidRPr="0088154F" w:rsidRDefault="00F65C64" w:rsidP="009D2E9C"/>
        </w:tc>
      </w:tr>
    </w:tbl>
    <w:p w14:paraId="409C90BF" w14:textId="77777777" w:rsidR="009D2E9C" w:rsidRPr="0088154F" w:rsidRDefault="009D2E9C" w:rsidP="009D2E9C">
      <w:pPr>
        <w:rPr>
          <w:b/>
        </w:rPr>
      </w:pPr>
    </w:p>
    <w:sectPr w:rsidR="009D2E9C" w:rsidRPr="008815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5E1ED" w14:textId="77777777" w:rsidR="00C108B2" w:rsidRDefault="00C108B2" w:rsidP="005F296E">
      <w:r>
        <w:separator/>
      </w:r>
    </w:p>
  </w:endnote>
  <w:endnote w:type="continuationSeparator" w:id="0">
    <w:p w14:paraId="510E77E7" w14:textId="77777777" w:rsidR="00C108B2" w:rsidRDefault="00C108B2" w:rsidP="005F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bb9a5a9d-4492-4c7a-9ece-394c" w:displacedByCustomXml="next"/>
  <w:sdt>
    <w:sdtPr>
      <w:rPr>
        <w:rStyle w:val="PageNumber"/>
      </w:rPr>
      <w:id w:val="1585179696"/>
      <w:docPartObj>
        <w:docPartGallery w:val="Page Numbers (Bottom of Page)"/>
        <w:docPartUnique/>
      </w:docPartObj>
    </w:sdtPr>
    <w:sdtEndPr>
      <w:rPr>
        <w:rStyle w:val="PageNumber"/>
      </w:rPr>
    </w:sdtEndPr>
    <w:sdtContent>
      <w:p w14:paraId="3E2D6009" w14:textId="77777777" w:rsidR="00975BD3" w:rsidRDefault="00975BD3" w:rsidP="00757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bookmarkStart w:id="1" w:name="_iDocIDField56ffb6da-6ead-41ae-854f-ca67"/>
  <w:bookmarkEnd w:id="0"/>
  <w:p w14:paraId="6DCA12CE" w14:textId="77777777" w:rsidR="00975BD3" w:rsidRDefault="00975BD3">
    <w:pPr>
      <w:pStyle w:val="DocID"/>
    </w:pPr>
    <w:r>
      <w:fldChar w:fldCharType="begin"/>
    </w:r>
    <w:r>
      <w:instrText xml:space="preserve">  DOCPROPERTY "CUS_DocIDChunk0" </w:instrText>
    </w:r>
    <w:r>
      <w:fldChar w:fldCharType="separate"/>
    </w:r>
    <w:r>
      <w:rPr>
        <w:noProof/>
      </w:rPr>
      <w:t>961840.v8</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3137670"/>
      <w:docPartObj>
        <w:docPartGallery w:val="Page Numbers (Bottom of Page)"/>
        <w:docPartUnique/>
      </w:docPartObj>
    </w:sdtPr>
    <w:sdtEndPr>
      <w:rPr>
        <w:rStyle w:val="PageNumber"/>
      </w:rPr>
    </w:sdtEndPr>
    <w:sdtContent>
      <w:p w14:paraId="17568CA3" w14:textId="3BE651C5" w:rsidR="00975BD3" w:rsidRDefault="00975BD3" w:rsidP="001D5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638">
          <w:rPr>
            <w:rStyle w:val="PageNumber"/>
            <w:noProof/>
          </w:rPr>
          <w:t>2</w:t>
        </w:r>
        <w:r>
          <w:rPr>
            <w:rStyle w:val="PageNumber"/>
          </w:rPr>
          <w:fldChar w:fldCharType="end"/>
        </w:r>
      </w:p>
    </w:sdtContent>
  </w:sdt>
  <w:bookmarkStart w:id="2" w:name="_iDocIDField36ea9fcc-1dad-438f-81a3-86a8"/>
  <w:p w14:paraId="6E5E0BE6" w14:textId="77777777" w:rsidR="00975BD3" w:rsidRDefault="00975BD3">
    <w:pPr>
      <w:pStyle w:val="DocID"/>
    </w:pPr>
    <w:r>
      <w:fldChar w:fldCharType="begin"/>
    </w:r>
    <w:r>
      <w:instrText xml:space="preserve">  DOCPROPERTY "CUS_DocIDChunk0" </w:instrText>
    </w:r>
    <w:r>
      <w:fldChar w:fldCharType="separate"/>
    </w:r>
    <w:r>
      <w:rPr>
        <w:noProof/>
      </w:rPr>
      <w:t>961840.v8</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62371c74-8f0e-49a9-93a7-ce9e"/>
  <w:p w14:paraId="4474B16E" w14:textId="77777777" w:rsidR="00975BD3" w:rsidRDefault="00975BD3">
    <w:pPr>
      <w:pStyle w:val="DocID"/>
    </w:pPr>
    <w:r>
      <w:fldChar w:fldCharType="begin"/>
    </w:r>
    <w:r>
      <w:instrText xml:space="preserve">  DOCPROPERTY "CUS_DocIDChunk0" </w:instrText>
    </w:r>
    <w:r>
      <w:fldChar w:fldCharType="separate"/>
    </w:r>
    <w:r>
      <w:rPr>
        <w:noProof/>
      </w:rPr>
      <w:t>961840.v8</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2C17" w14:textId="77777777" w:rsidR="00C108B2" w:rsidRDefault="00C108B2" w:rsidP="005F296E">
      <w:r>
        <w:separator/>
      </w:r>
    </w:p>
  </w:footnote>
  <w:footnote w:type="continuationSeparator" w:id="0">
    <w:p w14:paraId="5BD503BC" w14:textId="77777777" w:rsidR="00C108B2" w:rsidRDefault="00C108B2" w:rsidP="005F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27FB" w14:textId="77777777" w:rsidR="00510113" w:rsidRDefault="00510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104D" w14:textId="77777777" w:rsidR="00510113" w:rsidRDefault="00510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D826" w14:textId="77777777" w:rsidR="00510113" w:rsidRDefault="00510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6418"/>
    <w:multiLevelType w:val="hybridMultilevel"/>
    <w:tmpl w:val="D772C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57338"/>
    <w:multiLevelType w:val="hybridMultilevel"/>
    <w:tmpl w:val="D4B0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F7"/>
    <w:rsid w:val="00012BE2"/>
    <w:rsid w:val="00020C70"/>
    <w:rsid w:val="0004306E"/>
    <w:rsid w:val="00053BDE"/>
    <w:rsid w:val="000A3418"/>
    <w:rsid w:val="000C3FA9"/>
    <w:rsid w:val="000D2432"/>
    <w:rsid w:val="000D24FC"/>
    <w:rsid w:val="00146619"/>
    <w:rsid w:val="00152A15"/>
    <w:rsid w:val="0016316D"/>
    <w:rsid w:val="00172FF9"/>
    <w:rsid w:val="00182A0B"/>
    <w:rsid w:val="00191662"/>
    <w:rsid w:val="001A094B"/>
    <w:rsid w:val="001B2BE1"/>
    <w:rsid w:val="001B2DFD"/>
    <w:rsid w:val="00230FE0"/>
    <w:rsid w:val="002403A4"/>
    <w:rsid w:val="00271208"/>
    <w:rsid w:val="00281F16"/>
    <w:rsid w:val="00292068"/>
    <w:rsid w:val="002C651C"/>
    <w:rsid w:val="002F6CBD"/>
    <w:rsid w:val="00310833"/>
    <w:rsid w:val="003229DF"/>
    <w:rsid w:val="003C1A05"/>
    <w:rsid w:val="003E0B89"/>
    <w:rsid w:val="003E3FA2"/>
    <w:rsid w:val="003F0E19"/>
    <w:rsid w:val="003F4B1A"/>
    <w:rsid w:val="00500821"/>
    <w:rsid w:val="00510113"/>
    <w:rsid w:val="00510C22"/>
    <w:rsid w:val="00532562"/>
    <w:rsid w:val="00561885"/>
    <w:rsid w:val="00577214"/>
    <w:rsid w:val="005A1894"/>
    <w:rsid w:val="005C0E9D"/>
    <w:rsid w:val="005E0071"/>
    <w:rsid w:val="005E66A4"/>
    <w:rsid w:val="005F296E"/>
    <w:rsid w:val="00602909"/>
    <w:rsid w:val="0060460C"/>
    <w:rsid w:val="006112E4"/>
    <w:rsid w:val="00630B8D"/>
    <w:rsid w:val="0063171A"/>
    <w:rsid w:val="0064620E"/>
    <w:rsid w:val="00665DB4"/>
    <w:rsid w:val="00684828"/>
    <w:rsid w:val="006B093A"/>
    <w:rsid w:val="00705199"/>
    <w:rsid w:val="00706123"/>
    <w:rsid w:val="00707CA9"/>
    <w:rsid w:val="007200E3"/>
    <w:rsid w:val="00764EDC"/>
    <w:rsid w:val="007C1FB7"/>
    <w:rsid w:val="007D514A"/>
    <w:rsid w:val="007F2368"/>
    <w:rsid w:val="00832FBF"/>
    <w:rsid w:val="00853729"/>
    <w:rsid w:val="0086260A"/>
    <w:rsid w:val="0088154F"/>
    <w:rsid w:val="0089460D"/>
    <w:rsid w:val="008A7E9E"/>
    <w:rsid w:val="008E0E5B"/>
    <w:rsid w:val="008E382B"/>
    <w:rsid w:val="0091497A"/>
    <w:rsid w:val="00963EE5"/>
    <w:rsid w:val="009642C4"/>
    <w:rsid w:val="00975BD3"/>
    <w:rsid w:val="00987587"/>
    <w:rsid w:val="009D2E9C"/>
    <w:rsid w:val="00A03072"/>
    <w:rsid w:val="00A1100A"/>
    <w:rsid w:val="00A72618"/>
    <w:rsid w:val="00AD33BE"/>
    <w:rsid w:val="00AD7472"/>
    <w:rsid w:val="00B11477"/>
    <w:rsid w:val="00B15BCC"/>
    <w:rsid w:val="00B26A63"/>
    <w:rsid w:val="00B500AE"/>
    <w:rsid w:val="00B50E80"/>
    <w:rsid w:val="00B75A79"/>
    <w:rsid w:val="00BA4D46"/>
    <w:rsid w:val="00C01638"/>
    <w:rsid w:val="00C108B2"/>
    <w:rsid w:val="00C56EF1"/>
    <w:rsid w:val="00C742BE"/>
    <w:rsid w:val="00CC0251"/>
    <w:rsid w:val="00CE1553"/>
    <w:rsid w:val="00D20CFD"/>
    <w:rsid w:val="00D50223"/>
    <w:rsid w:val="00D56788"/>
    <w:rsid w:val="00D612B4"/>
    <w:rsid w:val="00DC3344"/>
    <w:rsid w:val="00DE4A10"/>
    <w:rsid w:val="00E0355D"/>
    <w:rsid w:val="00E0414D"/>
    <w:rsid w:val="00E17EF4"/>
    <w:rsid w:val="00E40774"/>
    <w:rsid w:val="00E67CB7"/>
    <w:rsid w:val="00E7122D"/>
    <w:rsid w:val="00E80182"/>
    <w:rsid w:val="00E86DF1"/>
    <w:rsid w:val="00E92C6E"/>
    <w:rsid w:val="00EC30E7"/>
    <w:rsid w:val="00EE6CC7"/>
    <w:rsid w:val="00EF0FA9"/>
    <w:rsid w:val="00F020E2"/>
    <w:rsid w:val="00F132F7"/>
    <w:rsid w:val="00F30C85"/>
    <w:rsid w:val="00F65C64"/>
    <w:rsid w:val="00F66F72"/>
    <w:rsid w:val="00F67330"/>
    <w:rsid w:val="00F848FB"/>
    <w:rsid w:val="00F97CC0"/>
    <w:rsid w:val="00FA35FC"/>
    <w:rsid w:val="00FA3DA1"/>
    <w:rsid w:val="00FA7450"/>
    <w:rsid w:val="00FB3897"/>
    <w:rsid w:val="00FC066E"/>
    <w:rsid w:val="00FE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D1F"/>
  <w15:chartTrackingRefBased/>
  <w15:docId w15:val="{E25E313D-493F-453E-8DC9-AB0866F0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848FB"/>
    <w:rPr>
      <w:color w:val="0563C1" w:themeColor="hyperlink"/>
      <w:u w:val="single"/>
    </w:rPr>
  </w:style>
  <w:style w:type="character" w:styleId="CommentReference">
    <w:name w:val="annotation reference"/>
    <w:basedOn w:val="DefaultParagraphFont"/>
    <w:uiPriority w:val="99"/>
    <w:semiHidden/>
    <w:unhideWhenUsed/>
    <w:rsid w:val="00F848FB"/>
    <w:rPr>
      <w:sz w:val="16"/>
      <w:szCs w:val="16"/>
    </w:rPr>
  </w:style>
  <w:style w:type="paragraph" w:styleId="CommentText">
    <w:name w:val="annotation text"/>
    <w:basedOn w:val="Normal"/>
    <w:link w:val="CommentTextChar"/>
    <w:uiPriority w:val="99"/>
    <w:semiHidden/>
    <w:unhideWhenUsed/>
    <w:rsid w:val="00F848F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48FB"/>
    <w:rPr>
      <w:sz w:val="20"/>
      <w:szCs w:val="20"/>
    </w:rPr>
  </w:style>
  <w:style w:type="paragraph" w:styleId="CommentSubject">
    <w:name w:val="annotation subject"/>
    <w:basedOn w:val="CommentText"/>
    <w:next w:val="CommentText"/>
    <w:link w:val="CommentSubjectChar"/>
    <w:uiPriority w:val="99"/>
    <w:semiHidden/>
    <w:unhideWhenUsed/>
    <w:rsid w:val="00F848FB"/>
    <w:rPr>
      <w:b/>
      <w:bCs/>
    </w:rPr>
  </w:style>
  <w:style w:type="character" w:customStyle="1" w:styleId="CommentSubjectChar">
    <w:name w:val="Comment Subject Char"/>
    <w:basedOn w:val="CommentTextChar"/>
    <w:link w:val="CommentSubject"/>
    <w:uiPriority w:val="99"/>
    <w:semiHidden/>
    <w:rsid w:val="00F848FB"/>
    <w:rPr>
      <w:b/>
      <w:bCs/>
      <w:sz w:val="20"/>
      <w:szCs w:val="20"/>
    </w:rPr>
  </w:style>
  <w:style w:type="paragraph" w:styleId="BalloonText">
    <w:name w:val="Balloon Text"/>
    <w:basedOn w:val="Normal"/>
    <w:link w:val="BalloonTextChar"/>
    <w:uiPriority w:val="99"/>
    <w:semiHidden/>
    <w:unhideWhenUsed/>
    <w:rsid w:val="00F848F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848FB"/>
    <w:rPr>
      <w:rFonts w:ascii="Segoe UI" w:hAnsi="Segoe UI" w:cs="Segoe UI"/>
      <w:sz w:val="18"/>
      <w:szCs w:val="18"/>
    </w:rPr>
  </w:style>
  <w:style w:type="table" w:styleId="TableGrid">
    <w:name w:val="Table Grid"/>
    <w:basedOn w:val="TableNormal"/>
    <w:uiPriority w:val="39"/>
    <w:rsid w:val="00A1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5F296E"/>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F296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F29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296E"/>
  </w:style>
  <w:style w:type="paragraph" w:styleId="Header">
    <w:name w:val="header"/>
    <w:basedOn w:val="Normal"/>
    <w:link w:val="HeaderChar"/>
    <w:uiPriority w:val="99"/>
    <w:unhideWhenUsed/>
    <w:rsid w:val="005F29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296E"/>
  </w:style>
  <w:style w:type="paragraph" w:styleId="FootnoteText">
    <w:name w:val="footnote text"/>
    <w:basedOn w:val="Normal"/>
    <w:link w:val="FootnoteTextChar"/>
    <w:uiPriority w:val="99"/>
    <w:semiHidden/>
    <w:unhideWhenUsed/>
    <w:rsid w:val="0029206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2068"/>
    <w:rPr>
      <w:sz w:val="20"/>
      <w:szCs w:val="20"/>
    </w:rPr>
  </w:style>
  <w:style w:type="character" w:styleId="FootnoteReference">
    <w:name w:val="footnote reference"/>
    <w:basedOn w:val="DefaultParagraphFont"/>
    <w:uiPriority w:val="99"/>
    <w:semiHidden/>
    <w:unhideWhenUsed/>
    <w:rsid w:val="00292068"/>
    <w:rPr>
      <w:vertAlign w:val="superscript"/>
    </w:rPr>
  </w:style>
  <w:style w:type="character" w:styleId="PageNumber">
    <w:name w:val="page number"/>
    <w:basedOn w:val="DefaultParagraphFont"/>
    <w:uiPriority w:val="99"/>
    <w:semiHidden/>
    <w:unhideWhenUsed/>
    <w:rsid w:val="003E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3753">
      <w:bodyDiv w:val="1"/>
      <w:marLeft w:val="0"/>
      <w:marRight w:val="0"/>
      <w:marTop w:val="0"/>
      <w:marBottom w:val="0"/>
      <w:divBdr>
        <w:top w:val="none" w:sz="0" w:space="0" w:color="auto"/>
        <w:left w:val="none" w:sz="0" w:space="0" w:color="auto"/>
        <w:bottom w:val="none" w:sz="0" w:space="0" w:color="auto"/>
        <w:right w:val="none" w:sz="0" w:space="0" w:color="auto"/>
      </w:divBdr>
    </w:div>
    <w:div w:id="1135683652">
      <w:bodyDiv w:val="1"/>
      <w:marLeft w:val="0"/>
      <w:marRight w:val="0"/>
      <w:marTop w:val="0"/>
      <w:marBottom w:val="0"/>
      <w:divBdr>
        <w:top w:val="none" w:sz="0" w:space="0" w:color="auto"/>
        <w:left w:val="none" w:sz="0" w:space="0" w:color="auto"/>
        <w:bottom w:val="none" w:sz="0" w:space="0" w:color="auto"/>
        <w:right w:val="none" w:sz="0" w:space="0" w:color="auto"/>
      </w:divBdr>
    </w:div>
    <w:div w:id="1862081632">
      <w:bodyDiv w:val="1"/>
      <w:marLeft w:val="0"/>
      <w:marRight w:val="0"/>
      <w:marTop w:val="0"/>
      <w:marBottom w:val="0"/>
      <w:divBdr>
        <w:top w:val="none" w:sz="0" w:space="0" w:color="auto"/>
        <w:left w:val="none" w:sz="0" w:space="0" w:color="auto"/>
        <w:bottom w:val="none" w:sz="0" w:space="0" w:color="auto"/>
        <w:right w:val="none" w:sz="0" w:space="0" w:color="auto"/>
      </w:divBdr>
    </w:div>
    <w:div w:id="20265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C109-81D8-417A-AF90-78EE6823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Fucci</dc:creator>
  <cp:keywords/>
  <dc:description/>
  <cp:lastModifiedBy>Pam Gannon</cp:lastModifiedBy>
  <cp:revision>10</cp:revision>
  <dcterms:created xsi:type="dcterms:W3CDTF">2020-08-06T00:18:00Z</dcterms:created>
  <dcterms:modified xsi:type="dcterms:W3CDTF">2021-02-12T20:53:00Z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961840.v8</vt:lpwstr>
  </property>
  <property fmtid="{D5CDD505-2E9C-101B-9397-08002B2CF9AE}" pid="3" name="CUS_DocIDChunk0">
    <vt:lpwstr>961840.v8</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